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7EA8E">
      <w:pPr>
        <w:pStyle w:val="54"/>
        <w:spacing w:after="60"/>
        <w:jc w:val="left"/>
        <w:rPr>
          <w:rFonts w:cs="Arial"/>
          <w:sz w:val="26"/>
          <w:szCs w:val="26"/>
          <w:lang w:val="en-IN"/>
        </w:rPr>
      </w:pPr>
      <w:bookmarkStart w:id="0" w:name="OLE_LINK101"/>
      <w:r>
        <w:rPr>
          <w:rFonts w:cs="Arial"/>
        </w:rPr>
        <w:t>3GPP TSG-RAN WG2 Meeting #12</w:t>
      </w:r>
      <w:r>
        <w:rPr>
          <w:rFonts w:cs="Arial"/>
          <w:lang w:val="en-IN"/>
        </w:rPr>
        <w:t>7</w:t>
      </w:r>
      <w:r>
        <w:tab/>
      </w:r>
      <w:r>
        <w:rPr>
          <w:rFonts w:cs="Arial"/>
          <w:sz w:val="26"/>
          <w:szCs w:val="26"/>
        </w:rPr>
        <w:t>R2-</w:t>
      </w:r>
      <w:r>
        <w:t xml:space="preserve"> </w:t>
      </w:r>
      <w:r>
        <w:rPr>
          <w:lang w:val="en-IN"/>
        </w:rPr>
        <w:t>2406908</w:t>
      </w:r>
    </w:p>
    <w:p w14:paraId="797E0C16">
      <w:pPr>
        <w:pStyle w:val="54"/>
        <w:jc w:val="left"/>
        <w:rPr>
          <w:rFonts w:cs="Arial"/>
          <w:sz w:val="22"/>
          <w:szCs w:val="22"/>
          <w:lang w:val="en-US"/>
        </w:rPr>
      </w:pPr>
      <w:bookmarkStart w:id="1" w:name="OLE_LINK171"/>
      <w:r>
        <w:rPr>
          <w:rFonts w:cs="Arial"/>
        </w:rPr>
        <w:t>Maastricht , NL,</w:t>
      </w:r>
      <w:bookmarkEnd w:id="1"/>
      <w:r>
        <w:rPr>
          <w:rFonts w:cs="Arial"/>
        </w:rPr>
        <w:t xml:space="preserve"> </w:t>
      </w:r>
      <w:r>
        <w:rPr>
          <w:rFonts w:hint="default" w:cs="Arial"/>
          <w:lang w:val="en-IN"/>
        </w:rPr>
        <w:t>August</w:t>
      </w:r>
      <w:r>
        <w:rPr>
          <w:rFonts w:cs="Arial"/>
        </w:rPr>
        <w:t xml:space="preserve"> </w:t>
      </w:r>
      <w:r>
        <w:rPr>
          <w:rFonts w:hint="default" w:cs="Arial"/>
          <w:lang w:val="en-IN"/>
        </w:rPr>
        <w:t>19</w:t>
      </w:r>
      <w:r>
        <w:rPr>
          <w:rFonts w:cs="Arial"/>
        </w:rPr>
        <w:t xml:space="preserve"> - </w:t>
      </w:r>
      <w:r>
        <w:rPr>
          <w:rFonts w:hint="default" w:cs="Arial"/>
          <w:lang w:val="en-IN"/>
        </w:rPr>
        <w:t>August 23</w:t>
      </w:r>
      <w:r>
        <w:rPr>
          <w:rFonts w:cs="Arial"/>
        </w:rPr>
        <w:t>, 2024</w:t>
      </w:r>
      <w:r>
        <w:rPr>
          <w:rFonts w:eastAsia="MS Mincho" w:cs="Arial"/>
        </w:rPr>
        <w:t xml:space="preserve"> </w:t>
      </w:r>
      <w:bookmarkEnd w:id="0"/>
      <w:r>
        <w:rPr>
          <w:rFonts w:eastAsia="MS Mincho" w:cs="Arial"/>
        </w:rPr>
        <w:t xml:space="preserve"> </w:t>
      </w:r>
      <w:r>
        <w:rPr>
          <w:rFonts w:eastAsia="MS Mincho" w:cs="Arial"/>
        </w:rPr>
        <w:tab/>
      </w:r>
    </w:p>
    <w:p w14:paraId="12FA2811">
      <w:pPr>
        <w:pStyle w:val="54"/>
        <w:jc w:val="left"/>
        <w:rPr>
          <w:rFonts w:hint="default" w:cs="Arial"/>
          <w:sz w:val="22"/>
          <w:szCs w:val="22"/>
          <w:lang w:val="en-IN"/>
        </w:rPr>
      </w:pPr>
      <w:r>
        <w:rPr>
          <w:rFonts w:cs="Arial"/>
          <w:sz w:val="22"/>
          <w:szCs w:val="22"/>
          <w:lang w:val="en-US"/>
        </w:rPr>
        <w:t>Agenda Item:</w:t>
      </w:r>
      <w:r>
        <w:rPr>
          <w:rFonts w:cs="Arial"/>
          <w:sz w:val="22"/>
          <w:szCs w:val="22"/>
          <w:lang w:val="en-US"/>
        </w:rPr>
        <w:tab/>
      </w:r>
      <w:r>
        <w:rPr>
          <w:rFonts w:cs="Arial"/>
          <w:sz w:val="22"/>
          <w:szCs w:val="22"/>
          <w:lang w:val="en-US"/>
        </w:rPr>
        <w:t>8.6.</w:t>
      </w:r>
      <w:r>
        <w:rPr>
          <w:rFonts w:hint="default" w:cs="Arial"/>
          <w:sz w:val="22"/>
          <w:szCs w:val="22"/>
          <w:lang w:val="en-IN"/>
        </w:rPr>
        <w:t>3</w:t>
      </w:r>
    </w:p>
    <w:p w14:paraId="777C997F">
      <w:pPr>
        <w:pStyle w:val="54"/>
        <w:jc w:val="left"/>
        <w:rPr>
          <w:rFonts w:cs="Arial"/>
          <w:sz w:val="22"/>
          <w:szCs w:val="22"/>
          <w:lang w:val="en-US"/>
        </w:rPr>
      </w:pPr>
      <w:r>
        <w:rPr>
          <w:rFonts w:cs="Arial"/>
          <w:sz w:val="22"/>
          <w:szCs w:val="22"/>
          <w:lang w:val="en-US"/>
        </w:rPr>
        <w:t>Source:</w:t>
      </w:r>
      <w:r>
        <w:rPr>
          <w:rFonts w:cs="Arial"/>
          <w:sz w:val="22"/>
          <w:szCs w:val="22"/>
          <w:lang w:val="en-US"/>
        </w:rPr>
        <w:tab/>
      </w:r>
      <w:r>
        <w:rPr>
          <w:rFonts w:hint="default" w:cs="Arial"/>
          <w:sz w:val="22"/>
          <w:szCs w:val="22"/>
          <w:lang w:val="en-IN"/>
        </w:rPr>
        <w:t>Lekha Wireless Solutions</w:t>
      </w:r>
    </w:p>
    <w:p w14:paraId="3602C007">
      <w:pPr>
        <w:pStyle w:val="54"/>
        <w:jc w:val="left"/>
        <w:rPr>
          <w:rFonts w:cs="Arial"/>
          <w:sz w:val="22"/>
          <w:szCs w:val="22"/>
          <w:lang w:val="en-IN"/>
        </w:rPr>
      </w:pPr>
      <w:r>
        <w:rPr>
          <w:rFonts w:cs="Arial"/>
          <w:sz w:val="22"/>
          <w:szCs w:val="22"/>
        </w:rPr>
        <w:t>Title:</w:t>
      </w:r>
      <w:r>
        <w:tab/>
      </w:r>
      <w:bookmarkStart w:id="3" w:name="_GoBack"/>
      <w:r>
        <w:rPr>
          <w:rFonts w:cs="Arial"/>
          <w:sz w:val="22"/>
          <w:szCs w:val="22"/>
        </w:rPr>
        <w:t>Discussion on measurement event evaluation for</w:t>
      </w:r>
      <w:r>
        <w:rPr>
          <w:rFonts w:cs="Arial"/>
          <w:sz w:val="22"/>
          <w:szCs w:val="22"/>
          <w:lang w:val="en-IN"/>
        </w:rPr>
        <w:t xml:space="preserve"> LTM</w:t>
      </w:r>
    </w:p>
    <w:bookmarkEnd w:id="3"/>
    <w:p w14:paraId="55A24722">
      <w:pPr>
        <w:pStyle w:val="54"/>
        <w:jc w:val="left"/>
        <w:rPr>
          <w:rFonts w:cs="Arial"/>
          <w:sz w:val="22"/>
          <w:szCs w:val="22"/>
        </w:rPr>
      </w:pPr>
      <w:r>
        <w:rPr>
          <w:rFonts w:cs="Arial"/>
          <w:sz w:val="22"/>
          <w:szCs w:val="22"/>
        </w:rPr>
        <w:t>Document for:</w:t>
      </w:r>
      <w:r>
        <w:rPr>
          <w:rFonts w:cs="Arial"/>
          <w:sz w:val="22"/>
          <w:szCs w:val="22"/>
        </w:rPr>
        <w:tab/>
      </w:r>
      <w:r>
        <w:rPr>
          <w:rFonts w:cs="Arial"/>
          <w:sz w:val="22"/>
          <w:szCs w:val="22"/>
        </w:rPr>
        <w:t>Discussion, Decision</w:t>
      </w:r>
    </w:p>
    <w:p w14:paraId="52CF0B09">
      <w:pPr>
        <w:pStyle w:val="2"/>
        <w:ind w:hanging="792"/>
      </w:pPr>
      <w:r>
        <w:t>Introduction</w:t>
      </w:r>
    </w:p>
    <w:p w14:paraId="0FF5E221">
      <w:pPr>
        <w:snapToGrid w:val="0"/>
        <w:spacing w:before="120"/>
        <w:jc w:val="left"/>
      </w:pPr>
      <w:r>
        <w:rPr>
          <w:rFonts w:hint="default"/>
          <w:lang w:val="en-IN"/>
        </w:rPr>
        <w:t>At last meeting, we discussed inter-CU LTM and made the following agreements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tcPr>
          <w:p w14:paraId="36A416DE">
            <w:pPr>
              <w:numPr>
                <w:ilvl w:val="0"/>
                <w:numId w:val="0"/>
              </w:numPr>
              <w:spacing w:after="0"/>
              <w:rPr>
                <w:b/>
                <w:bCs w:val="0"/>
                <w:lang w:val="en-US"/>
              </w:rPr>
            </w:pPr>
            <w:r>
              <w:rPr>
                <w:b/>
                <w:bCs w:val="0"/>
                <w:lang w:val="en-US"/>
              </w:rPr>
              <w:t>Agreements on measurement enhancements for LTM:</w:t>
            </w:r>
          </w:p>
          <w:p w14:paraId="54AC2A44">
            <w:pPr>
              <w:numPr>
                <w:ilvl w:val="0"/>
                <w:numId w:val="0"/>
              </w:numPr>
              <w:spacing w:after="0"/>
              <w:rPr>
                <w:b/>
                <w:bCs w:val="0"/>
                <w:lang w:val="en-US"/>
              </w:rPr>
            </w:pPr>
          </w:p>
          <w:p w14:paraId="3A1A70CE">
            <w:pPr>
              <w:numPr>
                <w:ilvl w:val="0"/>
                <w:numId w:val="15"/>
              </w:numPr>
              <w:spacing w:after="0"/>
              <w:ind w:left="425" w:leftChars="0" w:hanging="425" w:firstLineChars="0"/>
              <w:rPr>
                <w:bCs/>
                <w:lang w:val="en-US"/>
              </w:rPr>
            </w:pPr>
            <w:r>
              <w:rPr>
                <w:bCs/>
                <w:lang w:val="en-US"/>
              </w:rPr>
              <w:t>Event triggered L1 measurement should be designed for the following LTM purposes:</w:t>
            </w:r>
          </w:p>
          <w:p w14:paraId="1AA5FBAA">
            <w:pPr>
              <w:numPr>
                <w:ilvl w:val="0"/>
                <w:numId w:val="0"/>
              </w:numPr>
              <w:spacing w:after="0"/>
              <w:rPr>
                <w:bCs/>
                <w:lang w:val="en-US"/>
              </w:rPr>
            </w:pPr>
            <w:r>
              <w:rPr>
                <w:bCs/>
                <w:lang w:val="en-US"/>
              </w:rPr>
              <w:tab/>
            </w:r>
            <w:r>
              <w:rPr>
                <w:bCs/>
                <w:lang w:val="en-US"/>
              </w:rPr>
              <w:t>- Select the candidate beam/cell to trigger early synchronization.</w:t>
            </w:r>
          </w:p>
          <w:p w14:paraId="5AB5852F">
            <w:pPr>
              <w:numPr>
                <w:ilvl w:val="0"/>
                <w:numId w:val="0"/>
              </w:numPr>
              <w:spacing w:after="0"/>
              <w:rPr>
                <w:bCs/>
                <w:lang w:val="en-US"/>
              </w:rPr>
            </w:pPr>
            <w:r>
              <w:rPr>
                <w:bCs/>
                <w:lang w:val="en-US"/>
              </w:rPr>
              <w:t xml:space="preserve"> </w:t>
            </w:r>
            <w:r>
              <w:rPr>
                <w:bCs/>
                <w:lang w:val="en-US"/>
              </w:rPr>
              <w:tab/>
            </w:r>
            <w:r>
              <w:rPr>
                <w:bCs/>
                <w:lang w:val="en-US"/>
              </w:rPr>
              <w:t>- Select the target beam/cell and trigger LTM cell switch procedure.</w:t>
            </w:r>
          </w:p>
          <w:p w14:paraId="154B1B7A">
            <w:pPr>
              <w:numPr>
                <w:ilvl w:val="0"/>
                <w:numId w:val="0"/>
              </w:numPr>
              <w:spacing w:after="0"/>
              <w:rPr>
                <w:bCs/>
                <w:lang w:val="en-US"/>
              </w:rPr>
            </w:pPr>
          </w:p>
          <w:p w14:paraId="0FEA723A">
            <w:pPr>
              <w:numPr>
                <w:ilvl w:val="0"/>
                <w:numId w:val="15"/>
              </w:numPr>
              <w:spacing w:after="0"/>
              <w:ind w:left="425" w:leftChars="0" w:hanging="425" w:firstLineChars="0"/>
              <w:rPr>
                <w:bCs/>
                <w:highlight w:val="yellow"/>
              </w:rPr>
            </w:pPr>
            <w:r>
              <w:rPr>
                <w:bCs/>
              </w:rPr>
              <w:t>For event triggered L1 measurement, use of beam level measurement result for event evaluation is baseline</w:t>
            </w:r>
            <w:r>
              <w:rPr>
                <w:bCs/>
                <w:color w:val="000000" w:themeColor="text1"/>
                <w14:textFill>
                  <w14:solidFill>
                    <w14:schemeClr w14:val="tx1"/>
                  </w14:solidFill>
                </w14:textFill>
              </w:rPr>
              <w:t xml:space="preserve">. </w:t>
            </w:r>
            <w:r>
              <w:rPr>
                <w:bCs/>
                <w:color w:val="000000" w:themeColor="text1"/>
                <w:highlight w:val="yellow"/>
                <w14:textFill>
                  <w14:solidFill>
                    <w14:schemeClr w14:val="tx1"/>
                  </w14:solidFill>
                </w14:textFill>
              </w:rPr>
              <w:t>FFS for the cell level measurement.</w:t>
            </w:r>
          </w:p>
          <w:p w14:paraId="11FC1DCF">
            <w:pPr>
              <w:numPr>
                <w:ilvl w:val="0"/>
                <w:numId w:val="0"/>
              </w:numPr>
              <w:spacing w:after="0"/>
              <w:ind w:leftChars="0"/>
              <w:rPr>
                <w:bCs/>
                <w:highlight w:val="yellow"/>
              </w:rPr>
            </w:pPr>
          </w:p>
          <w:p w14:paraId="4395CFBE">
            <w:pPr>
              <w:numPr>
                <w:ilvl w:val="0"/>
                <w:numId w:val="15"/>
              </w:numPr>
              <w:spacing w:after="0"/>
              <w:ind w:left="425" w:leftChars="0" w:hanging="425" w:firstLineChars="0"/>
              <w:rPr>
                <w:lang w:val="en-US"/>
              </w:rPr>
            </w:pPr>
            <w:r>
              <w:rPr>
                <w:lang w:val="en-US"/>
              </w:rPr>
              <w:t>Support the following LTM events based on beam specific quality of serving cell and candidate cells as the L1 LTM measurement events.</w:t>
            </w:r>
          </w:p>
          <w:p w14:paraId="11DFD155">
            <w:pPr>
              <w:numPr>
                <w:ilvl w:val="0"/>
                <w:numId w:val="0"/>
              </w:numPr>
              <w:spacing w:after="0"/>
              <w:rPr>
                <w:bCs/>
                <w:lang w:val="en-US"/>
              </w:rPr>
            </w:pPr>
            <w:r>
              <w:rPr>
                <w:bCs/>
                <w:lang w:val="en-US"/>
              </w:rPr>
              <w:tab/>
            </w:r>
            <w:r>
              <w:rPr>
                <w:bCs/>
                <w:lang w:val="en-US"/>
              </w:rPr>
              <w:t>-</w:t>
            </w:r>
            <w:r>
              <w:rPr>
                <w:bCs/>
                <w:lang w:val="en-US"/>
              </w:rPr>
              <w:tab/>
            </w:r>
            <w:r>
              <w:rPr>
                <w:bCs/>
                <w:lang w:val="en-US"/>
              </w:rPr>
              <w:t>Event LTM2: Beam of serving cell becomes worse than absolute threshold;</w:t>
            </w:r>
          </w:p>
          <w:p w14:paraId="4A3FBCF1">
            <w:pPr>
              <w:numPr>
                <w:ilvl w:val="0"/>
                <w:numId w:val="0"/>
              </w:numPr>
              <w:spacing w:after="0"/>
              <w:rPr>
                <w:bCs/>
                <w:lang w:val="en-US"/>
              </w:rPr>
            </w:pPr>
            <w:r>
              <w:rPr>
                <w:bCs/>
                <w:lang w:val="en-US"/>
              </w:rPr>
              <w:tab/>
            </w:r>
            <w:r>
              <w:rPr>
                <w:bCs/>
                <w:lang w:val="en-US"/>
              </w:rPr>
              <w:t>-</w:t>
            </w:r>
            <w:r>
              <w:rPr>
                <w:bCs/>
                <w:lang w:val="en-US"/>
              </w:rPr>
              <w:tab/>
            </w:r>
            <w:r>
              <w:rPr>
                <w:bCs/>
                <w:lang w:val="en-US"/>
              </w:rPr>
              <w:t>Event LTM3: Beam of candidate cell becomes amount of offset better than beam of serving cell;</w:t>
            </w:r>
          </w:p>
          <w:p w14:paraId="29BF1F96">
            <w:pPr>
              <w:numPr>
                <w:ilvl w:val="0"/>
                <w:numId w:val="0"/>
              </w:numPr>
              <w:spacing w:after="0"/>
              <w:rPr>
                <w:bCs/>
                <w:lang w:val="en-US"/>
              </w:rPr>
            </w:pPr>
            <w:r>
              <w:rPr>
                <w:bCs/>
                <w:lang w:val="en-US"/>
              </w:rPr>
              <w:tab/>
            </w:r>
            <w:r>
              <w:rPr>
                <w:bCs/>
                <w:lang w:val="en-US"/>
              </w:rPr>
              <w:t>-</w:t>
            </w:r>
            <w:r>
              <w:rPr>
                <w:bCs/>
                <w:lang w:val="en-US"/>
              </w:rPr>
              <w:tab/>
            </w:r>
            <w:r>
              <w:rPr>
                <w:bCs/>
                <w:lang w:val="en-US"/>
              </w:rPr>
              <w:t>Event LTM4: Beam of candidate cell becomes better than absolute threshold;</w:t>
            </w:r>
          </w:p>
          <w:p w14:paraId="0E2EE34C">
            <w:pPr>
              <w:numPr>
                <w:ilvl w:val="0"/>
                <w:numId w:val="0"/>
              </w:numPr>
              <w:spacing w:after="0"/>
              <w:rPr>
                <w:bCs/>
                <w:lang w:val="en-US"/>
              </w:rPr>
            </w:pPr>
            <w:r>
              <w:rPr>
                <w:bCs/>
                <w:lang w:val="en-US"/>
              </w:rPr>
              <w:tab/>
            </w:r>
            <w:r>
              <w:rPr>
                <w:bCs/>
                <w:lang w:val="en-US"/>
              </w:rPr>
              <w:t>-</w:t>
            </w:r>
            <w:r>
              <w:rPr>
                <w:bCs/>
                <w:lang w:val="en-US"/>
              </w:rPr>
              <w:tab/>
            </w:r>
            <w:r>
              <w:rPr>
                <w:bCs/>
                <w:lang w:val="en-US"/>
              </w:rPr>
              <w:t>Event LTM5: Beam of serving cell becomes worse than absolute threshold1 AND Beam of candidate cell becomes better than another absolute threshold2.</w:t>
            </w:r>
          </w:p>
          <w:p w14:paraId="6B0C2470">
            <w:pPr>
              <w:numPr>
                <w:ilvl w:val="0"/>
                <w:numId w:val="0"/>
              </w:numPr>
              <w:spacing w:after="0"/>
              <w:rPr>
                <w:bCs/>
                <w:lang w:val="en-US"/>
              </w:rPr>
            </w:pPr>
            <w:r>
              <w:rPr>
                <w:bCs/>
                <w:lang w:val="en-US"/>
              </w:rPr>
              <w:tab/>
            </w:r>
          </w:p>
          <w:p w14:paraId="43F1487B">
            <w:pPr>
              <w:numPr>
                <w:ilvl w:val="0"/>
                <w:numId w:val="0"/>
              </w:numPr>
              <w:spacing w:after="0"/>
              <w:rPr>
                <w:bCs/>
                <w:highlight w:val="yellow"/>
                <w:lang w:val="en-US"/>
              </w:rPr>
            </w:pPr>
            <w:r>
              <w:rPr>
                <w:bCs/>
                <w:lang w:val="en-US"/>
              </w:rPr>
              <w:tab/>
            </w:r>
            <w:r>
              <w:rPr>
                <w:bCs/>
                <w:highlight w:val="yellow"/>
                <w:lang w:val="en-US"/>
              </w:rPr>
              <w:t>FFS on what beam(s) of the serving cell and neighboring cell is used for event evaluation. FFS on the need of Event LTM1.</w:t>
            </w:r>
          </w:p>
          <w:p w14:paraId="06450677">
            <w:pPr>
              <w:numPr>
                <w:ilvl w:val="0"/>
                <w:numId w:val="0"/>
              </w:numPr>
              <w:spacing w:after="0"/>
              <w:rPr>
                <w:bCs/>
                <w:lang w:val="en-US"/>
              </w:rPr>
            </w:pPr>
          </w:p>
          <w:p w14:paraId="7C98D478">
            <w:pPr>
              <w:numPr>
                <w:ilvl w:val="0"/>
                <w:numId w:val="15"/>
              </w:numPr>
              <w:spacing w:after="0"/>
              <w:ind w:left="425" w:leftChars="0" w:hanging="425" w:firstLineChars="0"/>
              <w:rPr>
                <w:bCs/>
              </w:rPr>
            </w:pPr>
            <w:r>
              <w:rPr>
                <w:bCs/>
              </w:rPr>
              <w:t>Support the beam config of both SSB and CSI-RS in L1 measurement resource configuration in LTM config. Working assumption: Same RS type should be used for both serving and neighbouring cell for event LTM3 and event LTM5.</w:t>
            </w:r>
          </w:p>
          <w:p w14:paraId="0572221B">
            <w:pPr>
              <w:numPr>
                <w:ilvl w:val="0"/>
                <w:numId w:val="0"/>
              </w:numPr>
              <w:spacing w:after="0"/>
              <w:ind w:leftChars="0"/>
              <w:rPr>
                <w:bCs/>
              </w:rPr>
            </w:pPr>
          </w:p>
          <w:p w14:paraId="74C0CF1F">
            <w:pPr>
              <w:numPr>
                <w:ilvl w:val="0"/>
                <w:numId w:val="15"/>
              </w:numPr>
              <w:spacing w:after="0"/>
              <w:ind w:left="425" w:leftChars="0" w:hanging="425" w:firstLineChars="0"/>
              <w:rPr>
                <w:bCs/>
              </w:rPr>
            </w:pPr>
            <w:r>
              <w:rPr>
                <w:bCs/>
              </w:rPr>
              <w:t>RAN2 assumes filtering of the L1 measure results is needed. It’s up to RAN1 whether the specified L1 filtering is needed or ok to leave it to UE implementation.</w:t>
            </w:r>
          </w:p>
          <w:p w14:paraId="35E6D6B7">
            <w:pPr>
              <w:numPr>
                <w:ilvl w:val="0"/>
                <w:numId w:val="0"/>
              </w:numPr>
              <w:spacing w:after="0"/>
              <w:ind w:leftChars="0"/>
              <w:rPr>
                <w:bCs/>
              </w:rPr>
            </w:pPr>
          </w:p>
          <w:p w14:paraId="4571286A">
            <w:pPr>
              <w:numPr>
                <w:ilvl w:val="0"/>
                <w:numId w:val="0"/>
              </w:numPr>
              <w:spacing w:after="0"/>
              <w:rPr>
                <w:bCs/>
                <w:lang w:val="en-US"/>
              </w:rPr>
            </w:pPr>
            <w:r>
              <w:rPr>
                <w:bCs/>
                <w:lang w:val="en-US"/>
              </w:rPr>
              <w:t>6.</w:t>
            </w:r>
            <w:r>
              <w:rPr>
                <w:bCs/>
                <w:lang w:val="en-US"/>
              </w:rPr>
              <w:tab/>
            </w:r>
            <w:r>
              <w:rPr>
                <w:bCs/>
                <w:lang w:val="en-US"/>
              </w:rPr>
              <w:t xml:space="preserve">For LTM event evaluation, TTT, </w:t>
            </w:r>
            <w:r>
              <w:rPr>
                <w:bCs/>
              </w:rPr>
              <w:t>hysteresis for entering/leaving, and/or beam specific (FFS for cell specific) offset can be applied.</w:t>
            </w:r>
            <w:r>
              <w:rPr>
                <w:bCs/>
                <w:highlight w:val="yellow"/>
              </w:rPr>
              <w:t xml:space="preserve"> FFS on the need of measurement reporting once leaving condition is met.</w:t>
            </w:r>
          </w:p>
          <w:p w14:paraId="61926351">
            <w:pPr>
              <w:numPr>
                <w:ilvl w:val="0"/>
                <w:numId w:val="0"/>
              </w:numPr>
              <w:spacing w:after="0"/>
              <w:rPr>
                <w:bCs/>
              </w:rPr>
            </w:pPr>
          </w:p>
        </w:tc>
      </w:tr>
    </w:tbl>
    <w:p w14:paraId="2C70364F">
      <w:pPr>
        <w:snapToGrid w:val="0"/>
        <w:spacing w:before="120"/>
      </w:pPr>
      <w:r>
        <w:rPr>
          <w:rFonts w:hint="eastAsia"/>
        </w:rPr>
        <w:t>T</w:t>
      </w:r>
      <w:r>
        <w:t xml:space="preserve">his contribution discussed different aspect to </w:t>
      </w:r>
      <w:r>
        <w:rPr>
          <w:rFonts w:hint="default"/>
          <w:lang w:val="en-IN"/>
        </w:rPr>
        <w:t>measurement enhancements of LTM</w:t>
      </w:r>
      <w:r>
        <w:t>.</w:t>
      </w:r>
    </w:p>
    <w:p w14:paraId="5309D50D">
      <w:pPr>
        <w:pStyle w:val="2"/>
        <w:ind w:hanging="792"/>
      </w:pPr>
      <w:r>
        <w:t>Discussion</w:t>
      </w:r>
      <w:r>
        <w:rPr>
          <w:lang w:val="en-IN"/>
        </w:rPr>
        <w:t xml:space="preserve"> on </w:t>
      </w:r>
      <w:r>
        <w:rPr>
          <w:rFonts w:hint="default"/>
          <w:lang w:val="en-IN"/>
        </w:rPr>
        <w:t>Measurement Enhancements</w:t>
      </w:r>
    </w:p>
    <w:p w14:paraId="7EF03E85">
      <w:pPr>
        <w:pStyle w:val="3"/>
      </w:pPr>
      <w:r>
        <w:t>Selecting the Optimal Beam to trigger Event LTM1</w:t>
      </w:r>
    </w:p>
    <w:p w14:paraId="3B037B04">
      <w:pPr>
        <w:pStyle w:val="97"/>
        <w:ind w:left="425"/>
        <w:rPr>
          <w:rFonts w:ascii="Arial" w:hAnsi="Arial" w:cs="Arial" w:eastAsiaTheme="minorEastAsia"/>
          <w:szCs w:val="20"/>
          <w:lang w:val="en-GB" w:eastAsia="zh-CN"/>
        </w:rPr>
      </w:pPr>
      <w:r>
        <w:rPr>
          <w:b/>
          <w:bCs/>
        </w:rPr>
        <w:t xml:space="preserve">Observation: </w:t>
      </w:r>
      <w:r>
        <w:rPr>
          <w:rFonts w:ascii="Arial" w:hAnsi="Arial" w:cs="Arial" w:eastAsiaTheme="minorEastAsia"/>
          <w:lang w:val="en-GB" w:eastAsia="zh-CN"/>
        </w:rPr>
        <w:t xml:space="preserve">In legacy L1 measurement reporting, beam level L1 measurement result is reported by UE. And in LTM, source cell needs to decide the target beam of the target cell. </w:t>
      </w:r>
    </w:p>
    <w:p w14:paraId="79CAB18A">
      <w:pPr>
        <w:pStyle w:val="97"/>
        <w:numPr>
          <w:ilvl w:val="0"/>
          <w:numId w:val="16"/>
        </w:numPr>
        <w:spacing w:before="240" w:beforeAutospacing="0" w:after="120" w:afterAutospacing="0"/>
        <w:jc w:val="center"/>
        <w:rPr>
          <w:strike w:val="0"/>
          <w:dstrike w:val="0"/>
        </w:rPr>
      </w:pPr>
      <w:r>
        <w:drawing>
          <wp:inline distT="0" distB="0" distL="114300" distR="114300">
            <wp:extent cx="5953125" cy="1018540"/>
            <wp:effectExtent l="0" t="0" r="5715" b="2540"/>
            <wp:docPr id="1758080986" name="Picture 1758080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80986" name="Picture 1758080986"/>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953125" cy="1018540"/>
                    </a:xfrm>
                    <a:prstGeom prst="rect">
                      <a:avLst/>
                    </a:prstGeom>
                  </pic:spPr>
                </pic:pic>
              </a:graphicData>
            </a:graphic>
          </wp:inline>
        </w:drawing>
      </w:r>
      <w:r>
        <w:rPr>
          <w:rFonts w:ascii="Arial" w:hAnsi="Arial" w:eastAsia="Arial" w:cs="Arial"/>
          <w:b/>
          <w:bCs/>
          <w:strike w:val="0"/>
          <w:dstrike w:val="0"/>
          <w:lang w:val="en-GB"/>
        </w:rPr>
        <w:t xml:space="preserve">Figure 1: Optimal Beam selection for Event LTM1 </w:t>
      </w:r>
    </w:p>
    <w:p w14:paraId="59252F72">
      <w:pPr>
        <w:pStyle w:val="97"/>
        <w:ind w:left="425" w:firstLine="563" w:firstLineChars="0"/>
      </w:pPr>
      <w:r>
        <w:t>For event triggered L1 measurement, use of beam level measurement result for event evaluation is considered as the baseline</w:t>
      </w:r>
      <w:r>
        <w:rPr>
          <w:color w:val="000000" w:themeColor="text1" w:themeTint="FF"/>
          <w14:textFill>
            <w14:solidFill>
              <w14:schemeClr w14:val="tx1">
                <w14:lumMod w14:val="100000"/>
                <w14:lumOff w14:val="0"/>
              </w14:schemeClr>
            </w14:solidFill>
          </w14:textFill>
        </w:rPr>
        <w:t>.</w:t>
      </w:r>
      <w:r>
        <w:t xml:space="preserve"> UE measures multiple beams from the serving cell as well as the candidate cells to select the candidate cell/beam. The measurement results (power values) from the subset of the selected candidate cell/beam are then averaged to derive the cell quality of the serving cell or the candidate cell. </w:t>
      </w:r>
    </w:p>
    <w:p w14:paraId="7620B468">
      <w:pPr>
        <w:pStyle w:val="97"/>
        <w:ind w:left="425" w:firstLine="563" w:firstLineChars="0"/>
        <w:rPr>
          <w:rFonts w:ascii="Arial" w:hAnsi="Arial" w:eastAsia="Arial" w:cs="Arial"/>
          <w:lang w:val="en-US"/>
        </w:rPr>
      </w:pPr>
      <w:r>
        <w:rPr>
          <w:rFonts w:ascii="Arial" w:hAnsi="Arial" w:eastAsia="Arial" w:cs="Arial"/>
          <w:b w:val="0"/>
          <w:bCs w:val="0"/>
          <w:lang w:val="en-US"/>
        </w:rPr>
        <w:t>The beam measurement result is not stable and can be changed rapidly, e.g., due to the building during the UE’s moving direction. If filtering is applied to the instant beam measured result before using for evaluation of reporting criteria, unnecessary triggering of the event and measurement reporting can be avoided. Therefore, it is beneficial to specify a filtering mechanism similar as in L3 measurement. Selecting a subset of beam measurement based on certain threshold/criteria and the threshold is UE specific.</w:t>
      </w:r>
    </w:p>
    <w:p w14:paraId="744BAFEF">
      <w:pPr>
        <w:spacing w:before="240" w:beforeAutospacing="0" w:after="240" w:afterAutospacing="0"/>
        <w:ind w:left="425" w:right="0"/>
        <w:rPr>
          <w:rFonts w:ascii="Arial" w:hAnsi="Arial" w:eastAsia="Arial" w:cs="Arial"/>
          <w:b/>
          <w:bCs/>
          <w:lang w:val="en-US"/>
        </w:rPr>
      </w:pPr>
      <w:r>
        <w:rPr>
          <w:rFonts w:ascii="Arial" w:hAnsi="Arial" w:eastAsia="Arial" w:cs="Arial"/>
          <w:b/>
          <w:bCs/>
          <w:lang w:val="en-US"/>
        </w:rPr>
        <w:t>Proposal 1: L1 Filtering for every candidate gNB - Select the K best beams measurement from the set of candidates gNB beam measurements. The selected beams are used for Event evaluation. The criteria to select the K set of beams is UE specific.</w:t>
      </w:r>
      <w:r>
        <w:rPr>
          <w:rFonts w:ascii="Arial" w:hAnsi="Arial" w:eastAsia="Arial" w:cs="Arial"/>
          <w:b w:val="0"/>
          <w:bCs w:val="0"/>
          <w:lang w:val="en-US"/>
        </w:rPr>
        <w:t xml:space="preserve">  </w:t>
      </w:r>
      <w:r>
        <w:rPr>
          <w:rFonts w:ascii="Arial" w:hAnsi="Arial" w:eastAsia="Arial" w:cs="Arial"/>
          <w:lang w:val="en-US"/>
        </w:rPr>
        <w:t xml:space="preserve"> </w:t>
      </w:r>
    </w:p>
    <w:p w14:paraId="1FE40DB9">
      <w:pPr>
        <w:spacing w:before="240" w:beforeAutospacing="0" w:after="0" w:afterAutospacing="0"/>
        <w:ind w:left="425" w:right="0"/>
        <w:rPr>
          <w:rFonts w:ascii="Arial" w:hAnsi="Arial" w:eastAsia="Arial" w:cs="Arial"/>
          <w:b/>
          <w:bCs/>
          <w:lang w:val="en-US"/>
        </w:rPr>
      </w:pPr>
      <w:r>
        <w:rPr>
          <w:rFonts w:ascii="Arial" w:hAnsi="Arial" w:eastAsia="Arial" w:cs="Arial"/>
          <w:b/>
          <w:bCs/>
          <w:lang w:val="en-US"/>
        </w:rPr>
        <w:t>Proposal 2: L3 Filtering – Averaging</w:t>
      </w:r>
    </w:p>
    <w:p w14:paraId="71EFE543">
      <w:pPr>
        <w:spacing w:before="240" w:beforeAutospacing="0" w:after="0" w:afterAutospacing="0"/>
        <w:ind w:left="425" w:right="0" w:firstLine="567"/>
        <w:rPr>
          <w:rFonts w:ascii="Arial" w:hAnsi="Arial" w:eastAsia="Arial" w:cs="Arial"/>
          <w:b/>
          <w:bCs/>
          <w:lang w:val="en-US"/>
        </w:rPr>
      </w:pPr>
      <w:r>
        <w:rPr>
          <w:rFonts w:ascii="Arial" w:hAnsi="Arial" w:eastAsia="Arial" w:cs="Arial"/>
          <w:b/>
          <w:bCs/>
          <w:lang w:val="en-US"/>
        </w:rPr>
        <w:t>Beam level measurements of a selected candidate cell or serving cell to be averaged to determine the cell quality/cell level measurements of the candidate cell or the serving cell.</w:t>
      </w:r>
    </w:p>
    <w:p w14:paraId="0D565EC3">
      <w:pPr>
        <w:pStyle w:val="97"/>
        <w:spacing w:after="0"/>
        <w:ind w:left="425"/>
        <w:rPr>
          <w:lang w:val="en-US"/>
        </w:rPr>
      </w:pPr>
    </w:p>
    <w:p w14:paraId="6B711A98">
      <w:pPr>
        <w:pStyle w:val="3"/>
      </w:pPr>
      <w:r>
        <w:t>Scope of Cell level measurement and its use cases</w:t>
      </w:r>
    </w:p>
    <w:p w14:paraId="5C77DE31">
      <w:pPr>
        <w:pStyle w:val="97"/>
        <w:ind w:left="425"/>
      </w:pPr>
      <w:r>
        <w:rPr>
          <w:b/>
          <w:bCs/>
        </w:rPr>
        <w:t xml:space="preserve">Observation: </w:t>
      </w:r>
      <w:r>
        <w:t xml:space="preserve"> The events defined for L3 mobility in the NR RRC specification [2] are based on L3 measurements which are derived from the individual beam measurements within a cell. Thus, L3 measurements reflect the entire cell quality and L3-events are evaluated at a cell-level granularity which is useful in L3 mobility. However, L1 measurements in LTM are performed on individual beams (i.e., per SSB or another reference signal in the RS-set). </w:t>
      </w:r>
    </w:p>
    <w:p w14:paraId="059C16AF">
      <w:pPr>
        <w:pStyle w:val="97"/>
        <w:ind w:left="425" w:firstLine="567"/>
      </w:pPr>
      <w:r>
        <w:t xml:space="preserve">L1 can gather information more frequently. L3 measurements might be reported with a larger configured periodicity. Thus, L3 measurements reporting can be applicable for slow fading channel conditions or narrowband Doppler spread when the UE transits slowly. In case of fast fading channel conditions or wideband Doppler due to high mobility scenario, L1 measurement reporting can be considered.   </w:t>
      </w:r>
    </w:p>
    <w:p w14:paraId="74B4B3E2">
      <w:pPr>
        <w:pStyle w:val="97"/>
        <w:ind w:left="425"/>
        <w:rPr>
          <w:b/>
          <w:bCs/>
          <w:lang w:val="en-IN"/>
        </w:rPr>
      </w:pPr>
      <w:r>
        <w:rPr>
          <w:b/>
          <w:bCs/>
          <w:lang w:val="en-IN"/>
        </w:rPr>
        <w:t>Proposal 3: Based on mobility class, beam level measurement or cell level measurement can be chosen. Appropriate Weighting can be used to make the LTM as more robust.</w:t>
      </w:r>
    </w:p>
    <w:p w14:paraId="58236170">
      <w:pPr>
        <w:spacing w:before="240" w:beforeAutospacing="0" w:after="240" w:afterAutospacing="0"/>
        <w:ind w:left="425" w:right="0" w:firstLine="567"/>
      </w:pPr>
      <w:r>
        <w:rPr>
          <w:rFonts w:ascii="Arial" w:hAnsi="Arial" w:eastAsia="Arial" w:cs="Arial"/>
          <w:b/>
          <w:bCs/>
          <w:lang w:val="en-US"/>
        </w:rPr>
        <w:t xml:space="preserve">Observation: </w:t>
      </w:r>
      <w:r>
        <w:rPr>
          <w:rFonts w:ascii="Arial" w:hAnsi="Arial" w:eastAsia="Arial" w:cs="Arial"/>
          <w:lang w:val="en-US"/>
        </w:rPr>
        <w:t>Currently, L1 measurements for LTM are performed based on the reference signals of candidate cells. The beam-level measurement results are reported to the network for triggering LTM and early synchronization operations, such as TCI-state activation and early TA acquisition. Therefore, it is logical to use beam-level measurement results as inputs for L1 event evaluations.</w:t>
      </w:r>
    </w:p>
    <w:p w14:paraId="16CEC293">
      <w:pPr>
        <w:spacing w:before="240" w:beforeAutospacing="0" w:after="240" w:afterAutospacing="0"/>
        <w:ind w:left="425" w:right="0" w:firstLine="567"/>
      </w:pPr>
      <w:r>
        <w:rPr>
          <w:rFonts w:ascii="Arial" w:hAnsi="Arial" w:eastAsia="Arial" w:cs="Arial"/>
          <w:lang w:val="en-US"/>
        </w:rPr>
        <w:t>For instance, in an Event LTM3, the offset of the candidate beam of a candidate cell becomes better than that of the beam of the serving cell. Since the reporting triggered by L1 events is primarily used for mobility decisions, it is beneficial to consider cell-level measurement results comprehensively. This approach can aid in selecting the target cell and enhance mobility robustness.</w:t>
      </w:r>
    </w:p>
    <w:p w14:paraId="396C012B">
      <w:pPr>
        <w:spacing w:before="240" w:beforeAutospacing="0" w:after="240" w:afterAutospacing="0"/>
        <w:ind w:left="425" w:right="0" w:firstLine="567"/>
      </w:pPr>
      <w:r>
        <w:rPr>
          <w:rFonts w:ascii="Arial" w:hAnsi="Arial" w:eastAsia="Arial" w:cs="Arial"/>
          <w:lang w:val="en-US"/>
        </w:rPr>
        <w:t>In some cases, the quality of the best beam may not fully reflect the quality of the entire cell. For example, there could be one strongest beam well above a threshold while other beams are far below it. In such scenarios, due to the poor quality of most beams in the target cell, another cell switch may be triggered shortly after the UE switches to this target cell, leading to frequent ping-pong handovers or a too-short stay.</w:t>
      </w:r>
    </w:p>
    <w:p w14:paraId="5EDEA849">
      <w:pPr>
        <w:spacing w:before="240" w:beforeAutospacing="0" w:after="240" w:afterAutospacing="0"/>
        <w:ind w:left="425" w:right="0" w:firstLine="567"/>
      </w:pPr>
      <w:r>
        <w:rPr>
          <w:rFonts w:ascii="Arial" w:hAnsi="Arial" w:eastAsia="Arial" w:cs="Arial"/>
          <w:lang w:val="en-US"/>
        </w:rPr>
        <w:t>To mitigate the ping-pong effect caused by single beam-level measurement results, cell-level measurement results should also be considered as inputs for L1 event evaluation. These cell-level measurement results can be derived from the consolidation of multiple beams of a cell, similar to L3 RRM measurement.</w:t>
      </w:r>
    </w:p>
    <w:p w14:paraId="3631C1B9">
      <w:pPr>
        <w:pStyle w:val="97"/>
        <w:ind w:left="425"/>
        <w:rPr>
          <w:b/>
          <w:bCs/>
          <w:lang w:val="en-IN"/>
        </w:rPr>
      </w:pPr>
      <w:r>
        <w:rPr>
          <w:b/>
          <w:bCs/>
          <w:lang w:val="en-US"/>
        </w:rPr>
        <w:t xml:space="preserve">Proposal </w:t>
      </w:r>
      <w:r>
        <w:rPr>
          <w:b/>
          <w:bCs/>
          <w:lang w:val="en-IN"/>
        </w:rPr>
        <w:t>4</w:t>
      </w:r>
      <w:r>
        <w:rPr>
          <w:b/>
          <w:bCs/>
          <w:lang w:val="en-US"/>
        </w:rPr>
        <w:t>: For the input of L1 event evaluation, RAN2 should consider both beam-level measurement results and cell-level measurement results (e.g., based on the consolidation of multiple beams of a cell).</w:t>
      </w:r>
    </w:p>
    <w:p w14:paraId="1D702E99">
      <w:pPr>
        <w:pStyle w:val="3"/>
        <w:bidi w:val="0"/>
        <w:ind w:left="432" w:leftChars="0" w:hanging="432" w:firstLineChars="0"/>
        <w:rPr>
          <w:rFonts w:hint="default"/>
          <w:lang w:val="en-IN" w:eastAsia="zh-CN"/>
        </w:rPr>
      </w:pPr>
      <w:r>
        <w:rPr>
          <w:rFonts w:hint="default"/>
          <w:lang w:val="en-IN" w:eastAsia="zh-CN"/>
        </w:rPr>
        <w:t>Association between event configuration and measure resource configuration</w:t>
      </w:r>
    </w:p>
    <w:p w14:paraId="65DD0CA7">
      <w:pPr>
        <w:pStyle w:val="97"/>
        <w:ind w:left="425"/>
      </w:pPr>
      <w:r>
        <w:rPr>
          <w:b/>
          <w:bCs/>
        </w:rPr>
        <w:t xml:space="preserve">Observation: </w:t>
      </w:r>
      <w:r>
        <w:t xml:space="preserve"> </w:t>
      </w:r>
    </w:p>
    <w:tbl>
      <w:tblPr>
        <w:tblStyle w:val="12"/>
        <w:tblpPr w:leftFromText="180" w:rightFromText="180" w:vertAnchor="text" w:horzAnchor="page" w:tblpX="1540" w:tblpY="1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2F2F2"/>
        <w:tblLayout w:type="autofit"/>
        <w:tblCellMar>
          <w:top w:w="0" w:type="dxa"/>
          <w:left w:w="108" w:type="dxa"/>
          <w:bottom w:w="0" w:type="dxa"/>
          <w:right w:w="108" w:type="dxa"/>
        </w:tblCellMar>
      </w:tblPr>
      <w:tblGrid>
        <w:gridCol w:w="9855"/>
      </w:tblGrid>
      <w:tr w14:paraId="01EA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2F2F2"/>
          <w:tblCellMar>
            <w:top w:w="0" w:type="dxa"/>
            <w:left w:w="108" w:type="dxa"/>
            <w:bottom w:w="0" w:type="dxa"/>
            <w:right w:w="108" w:type="dxa"/>
          </w:tblCellMar>
        </w:tblPrEx>
        <w:trPr>
          <w:trHeight w:val="795" w:hRule="atLeast"/>
        </w:trPr>
        <w:tc>
          <w:tcPr>
            <w:tcW w:w="98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top"/>
          </w:tcPr>
          <w:p w14:paraId="507221B0">
            <w:pPr>
              <w:pStyle w:val="97"/>
              <w:ind w:left="425"/>
              <w:rPr>
                <w:lang w:val="en-US"/>
              </w:rPr>
            </w:pPr>
            <w:r>
              <w:rPr>
                <w:lang w:val="en-US"/>
              </w:rPr>
              <w:t>RAN2#12</w:t>
            </w:r>
            <w:r>
              <w:rPr>
                <w:rFonts w:hint="default"/>
                <w:lang w:val="en-IN"/>
              </w:rPr>
              <w:t xml:space="preserve">6 </w:t>
            </w:r>
            <w:r>
              <w:rPr>
                <w:lang w:val="en-US"/>
              </w:rPr>
              <w:t>Agreements on measurements:</w:t>
            </w:r>
          </w:p>
          <w:p w14:paraId="65EEE980">
            <w:pPr>
              <w:numPr>
                <w:ilvl w:val="0"/>
                <w:numId w:val="0"/>
              </w:numPr>
              <w:spacing w:after="0"/>
              <w:ind w:leftChars="0"/>
              <w:rPr>
                <w:lang w:val="en-US"/>
              </w:rPr>
            </w:pPr>
            <w:r>
              <w:rPr>
                <w:bCs/>
              </w:rPr>
              <w:t>Support the beam config of both SSB and CSI-RS in L1 measurement resource configuration in LTM config. Working assumption: Same RS type should be used for both serving and neighbouring cell for event LTM3 and event LTM5.</w:t>
            </w:r>
          </w:p>
        </w:tc>
      </w:tr>
    </w:tbl>
    <w:p w14:paraId="17657C0A">
      <w:pPr>
        <w:ind w:left="0" w:firstLine="567"/>
        <w:rPr>
          <w:lang w:val="en-IN"/>
        </w:rPr>
      </w:pPr>
    </w:p>
    <w:p w14:paraId="0B9033C4">
      <w:pPr>
        <w:spacing w:before="240" w:beforeAutospacing="0" w:after="115" w:afterAutospacing="0"/>
        <w:ind w:left="400" w:leftChars="200" w:firstLine="229" w:firstLineChars="115"/>
        <w:jc w:val="both"/>
        <w:rPr>
          <w:rFonts w:ascii="Arial" w:hAnsi="Arial" w:eastAsia="Arial" w:cs="Arial"/>
          <w:lang w:val="en-IN"/>
        </w:rPr>
      </w:pPr>
      <w:r>
        <w:rPr>
          <w:rFonts w:ascii="Arial" w:hAnsi="Arial" w:eastAsia="Arial" w:cs="Arial"/>
          <w:lang w:val="en-IN"/>
        </w:rPr>
        <w:t xml:space="preserve">The configuration of SSB and CSI-RS in L1 measurement resource configuration may be UE Specific. Moreover, UE </w:t>
      </w:r>
      <w:r>
        <w:rPr>
          <w:rFonts w:hint="default" w:eastAsia="Arial" w:cs="Arial"/>
          <w:lang w:val="en-IN"/>
        </w:rPr>
        <w:t>carry out either SSB or CSI-RS based</w:t>
      </w:r>
      <w:r>
        <w:rPr>
          <w:rFonts w:ascii="Arial" w:hAnsi="Arial" w:eastAsia="Arial" w:cs="Arial"/>
          <w:lang w:val="en-IN"/>
        </w:rPr>
        <w:t xml:space="preserve"> measurements </w:t>
      </w:r>
      <w:r>
        <w:rPr>
          <w:rFonts w:hint="default" w:eastAsia="Arial" w:cs="Arial"/>
          <w:lang w:val="en-IN"/>
        </w:rPr>
        <w:t>only. In order to facilite this, the serving gNB acts as an anchor. T</w:t>
      </w:r>
      <w:r>
        <w:rPr>
          <w:rFonts w:ascii="Arial" w:hAnsi="Arial" w:eastAsia="Arial" w:cs="Arial"/>
          <w:lang w:val="en-IN"/>
        </w:rPr>
        <w:t xml:space="preserve">he UE state information is </w:t>
      </w:r>
      <w:r>
        <w:rPr>
          <w:rFonts w:hint="default" w:eastAsia="Arial" w:cs="Arial"/>
          <w:lang w:val="en-IN"/>
        </w:rPr>
        <w:t xml:space="preserve">already </w:t>
      </w:r>
      <w:r>
        <w:rPr>
          <w:rFonts w:ascii="Arial" w:hAnsi="Arial" w:eastAsia="Arial" w:cs="Arial"/>
          <w:lang w:val="en-IN"/>
        </w:rPr>
        <w:t xml:space="preserve">known to the serving gNB. </w:t>
      </w:r>
      <w:r>
        <w:rPr>
          <w:rFonts w:hint="default" w:eastAsia="Arial" w:cs="Arial"/>
          <w:lang w:val="en-IN"/>
        </w:rPr>
        <w:t>So, t</w:t>
      </w:r>
      <w:r>
        <w:rPr>
          <w:rFonts w:ascii="Arial" w:hAnsi="Arial" w:eastAsia="Arial" w:cs="Arial"/>
          <w:lang w:val="en-IN"/>
        </w:rPr>
        <w:t>he serving gNB collects the candidate configuration in SSB and CSI-RS based</w:t>
      </w:r>
      <w:r>
        <w:rPr>
          <w:rFonts w:hint="default" w:eastAsia="Arial" w:cs="Arial"/>
          <w:lang w:val="en-IN"/>
        </w:rPr>
        <w:t xml:space="preserve"> from the candidate gNB’s</w:t>
      </w:r>
      <w:r>
        <w:rPr>
          <w:rFonts w:ascii="Arial" w:hAnsi="Arial" w:eastAsia="Arial" w:cs="Arial"/>
          <w:lang w:val="en-IN"/>
        </w:rPr>
        <w:t xml:space="preserve">. But, while sending the RRC reconfiguration msg/ LTM candidate configuration to UE, Serving gNB mention that </w:t>
      </w:r>
      <w:r>
        <w:rPr>
          <w:rFonts w:hint="default" w:eastAsia="Arial" w:cs="Arial"/>
          <w:lang w:val="en-IN"/>
        </w:rPr>
        <w:t xml:space="preserve">either </w:t>
      </w:r>
      <w:r>
        <w:rPr>
          <w:rFonts w:ascii="Arial" w:hAnsi="Arial" w:eastAsia="Arial" w:cs="Arial"/>
          <w:lang w:val="en-IN"/>
        </w:rPr>
        <w:t>SSB based or CSI-RS based measurement report is required. Based on that</w:t>
      </w:r>
      <w:r>
        <w:rPr>
          <w:rFonts w:hint="default" w:eastAsia="Arial" w:cs="Arial"/>
          <w:lang w:val="en-IN"/>
        </w:rPr>
        <w:t>,</w:t>
      </w:r>
      <w:r>
        <w:rPr>
          <w:rFonts w:ascii="Arial" w:hAnsi="Arial" w:eastAsia="Arial" w:cs="Arial"/>
          <w:lang w:val="en-IN"/>
        </w:rPr>
        <w:t xml:space="preserve"> UE measures and communicate </w:t>
      </w:r>
      <w:r>
        <w:rPr>
          <w:rFonts w:hint="default" w:eastAsia="Arial" w:cs="Arial"/>
          <w:lang w:val="en-IN"/>
        </w:rPr>
        <w:t xml:space="preserve">either SSB or CSI-RS based event triggered L1 measurement report </w:t>
      </w:r>
      <w:r>
        <w:rPr>
          <w:rFonts w:ascii="Arial" w:hAnsi="Arial" w:eastAsia="Arial" w:cs="Arial"/>
          <w:lang w:val="en-IN"/>
        </w:rPr>
        <w:t xml:space="preserve">to </w:t>
      </w:r>
      <w:r>
        <w:rPr>
          <w:rFonts w:hint="default" w:eastAsia="Arial" w:cs="Arial"/>
          <w:lang w:val="en-IN"/>
        </w:rPr>
        <w:t xml:space="preserve">serving </w:t>
      </w:r>
      <w:r>
        <w:rPr>
          <w:rFonts w:ascii="Arial" w:hAnsi="Arial" w:eastAsia="Arial" w:cs="Arial"/>
          <w:lang w:val="en-IN"/>
        </w:rPr>
        <w:t>gNB. It reduces the signalling overhead</w:t>
      </w:r>
      <w:r>
        <w:rPr>
          <w:rFonts w:hint="default" w:eastAsia="Arial" w:cs="Arial"/>
          <w:lang w:val="en-IN"/>
        </w:rPr>
        <w:t xml:space="preserve"> of UE and it </w:t>
      </w:r>
      <w:r>
        <w:rPr>
          <w:rFonts w:ascii="Arial" w:hAnsi="Arial" w:eastAsia="Arial" w:cs="Arial"/>
          <w:lang w:val="en-IN"/>
        </w:rPr>
        <w:t>enhances the overall network performance.</w:t>
      </w:r>
    </w:p>
    <w:p w14:paraId="304B03AD">
      <w:pPr>
        <w:spacing w:before="240" w:beforeAutospacing="0" w:after="115" w:afterAutospacing="0"/>
        <w:ind w:left="400" w:leftChars="200" w:firstLine="230" w:firstLineChars="115"/>
        <w:jc w:val="both"/>
        <w:rPr>
          <w:rFonts w:ascii="Arial" w:hAnsi="Arial" w:eastAsia="Arial" w:cs="Arial"/>
          <w:lang w:val="en-IN"/>
        </w:rPr>
      </w:pPr>
      <w:r>
        <w:rPr>
          <w:rFonts w:ascii="Arial" w:hAnsi="Arial" w:eastAsia="Arial" w:cs="Arial"/>
          <w:b/>
          <w:bCs/>
          <w:lang w:val="en-US"/>
        </w:rPr>
        <w:t xml:space="preserve">Proposal </w:t>
      </w:r>
      <w:r>
        <w:rPr>
          <w:rFonts w:hint="default" w:eastAsia="Arial" w:cs="Arial"/>
          <w:b/>
          <w:bCs/>
          <w:lang w:val="en-IN"/>
        </w:rPr>
        <w:t>5</w:t>
      </w:r>
      <w:r>
        <w:rPr>
          <w:rFonts w:ascii="Arial" w:hAnsi="Arial" w:eastAsia="Arial" w:cs="Arial"/>
          <w:b/>
          <w:bCs/>
          <w:lang w:val="en-US"/>
        </w:rPr>
        <w:t>:</w:t>
      </w:r>
      <w:r>
        <w:rPr>
          <w:rFonts w:ascii="Arial" w:hAnsi="Arial" w:eastAsia="Arial" w:cs="Arial"/>
          <w:b/>
          <w:bCs/>
          <w:lang w:val="en-IN"/>
        </w:rPr>
        <w:t xml:space="preserve"> </w:t>
      </w:r>
      <w:r>
        <w:rPr>
          <w:rFonts w:hint="default" w:eastAsia="Arial" w:cs="Arial"/>
          <w:b/>
          <w:bCs/>
          <w:lang w:val="en-IN"/>
        </w:rPr>
        <w:t>Based on UE state, Serving gNB indicates that SSB or CSI-RS based event triggered L1 measurement report is required</w:t>
      </w:r>
      <w:r>
        <w:rPr>
          <w:rFonts w:ascii="Arial" w:hAnsi="Arial" w:eastAsia="Arial" w:cs="Arial"/>
          <w:b/>
          <w:bCs/>
          <w:lang w:val="en-IN"/>
        </w:rPr>
        <w:t>.</w:t>
      </w:r>
      <w:r>
        <w:rPr>
          <w:rFonts w:hint="default" w:eastAsia="Arial" w:cs="Arial"/>
          <w:b/>
          <w:bCs/>
          <w:lang w:val="en-IN"/>
        </w:rPr>
        <w:t xml:space="preserve"> This information is shared to UE as part of RRC Reconfiguration msg.</w:t>
      </w:r>
    </w:p>
    <w:p w14:paraId="5A6BF3BD">
      <w:pPr>
        <w:spacing w:before="240" w:beforeAutospacing="0" w:after="115" w:afterAutospacing="0"/>
        <w:ind w:left="400" w:leftChars="200" w:firstLine="230" w:firstLineChars="115"/>
        <w:jc w:val="both"/>
        <w:rPr>
          <w:rFonts w:hint="default"/>
          <w:b/>
          <w:bCs/>
          <w:lang w:val="en-IN" w:eastAsia="zh-CN"/>
        </w:rPr>
      </w:pPr>
      <w:r>
        <w:rPr>
          <w:rFonts w:ascii="Arial" w:hAnsi="Arial" w:eastAsia="Arial" w:cs="Arial"/>
          <w:b/>
          <w:bCs/>
          <w:lang w:val="en-US"/>
        </w:rPr>
        <w:t xml:space="preserve">Proposal </w:t>
      </w:r>
      <w:r>
        <w:rPr>
          <w:rFonts w:hint="default" w:eastAsia="Arial" w:cs="Arial"/>
          <w:b/>
          <w:bCs/>
          <w:lang w:val="en-IN"/>
        </w:rPr>
        <w:t>6</w:t>
      </w:r>
      <w:r>
        <w:rPr>
          <w:rFonts w:ascii="Arial" w:hAnsi="Arial" w:eastAsia="Arial" w:cs="Arial"/>
          <w:b/>
          <w:bCs/>
          <w:lang w:val="en-US"/>
        </w:rPr>
        <w:t>:</w:t>
      </w:r>
      <w:r>
        <w:rPr>
          <w:rFonts w:ascii="Arial" w:hAnsi="Arial" w:eastAsia="Arial" w:cs="Arial"/>
          <w:b/>
          <w:bCs/>
          <w:lang w:val="en-IN"/>
        </w:rPr>
        <w:t xml:space="preserve"> For low mobility SSB based reference signal will be sent by serving gNB as a part of RRC reconfiguration msg.  For high mobility, CSI-RS based reference configurations can be sent by serving gNB as a part of RRC reconfiguration msg.</w:t>
      </w:r>
    </w:p>
    <w:p w14:paraId="7C84B3A1">
      <w:pPr>
        <w:pStyle w:val="3"/>
        <w:suppressLineNumbers w:val="0"/>
        <w:bidi w:val="0"/>
        <w:spacing w:before="180" w:beforeAutospacing="0" w:after="180" w:afterAutospacing="0" w:line="259" w:lineRule="auto"/>
        <w:ind w:left="432" w:leftChars="0" w:right="0" w:hanging="432" w:firstLineChars="0"/>
        <w:jc w:val="left"/>
        <w:rPr>
          <w:lang w:val="en-IN"/>
        </w:rPr>
      </w:pPr>
      <w:r>
        <w:rPr>
          <w:lang w:val="en-IN"/>
        </w:rPr>
        <w:t>Need for Measurement Reporting under certain conditions</w:t>
      </w:r>
    </w:p>
    <w:p w14:paraId="09C6C369">
      <w:pPr>
        <w:spacing w:before="240" w:beforeAutospacing="0" w:after="115" w:afterAutospacing="0"/>
        <w:ind w:left="400" w:leftChars="200" w:firstLine="231" w:firstLineChars="115"/>
        <w:jc w:val="both"/>
        <w:rPr>
          <w:highlight w:val="yellow"/>
        </w:rPr>
      </w:pPr>
      <w:r>
        <w:rPr>
          <w:b/>
          <w:bCs/>
        </w:rPr>
        <w:t xml:space="preserve">Observation: </w:t>
      </w:r>
      <w:r>
        <w:t xml:space="preserve"> </w:t>
      </w:r>
      <w:r>
        <w:rPr>
          <w:lang w:val="en-US"/>
        </w:rPr>
        <w:t xml:space="preserve">For LTM event evaluation, TTT, </w:t>
      </w:r>
      <w:r>
        <w:t>hysteresis for entering/leaving, beam specific and cell specific offset can be applied.</w:t>
      </w:r>
    </w:p>
    <w:p w14:paraId="4B5E15A6">
      <w:pPr>
        <w:spacing w:before="240" w:beforeAutospacing="0" w:after="115" w:afterAutospacing="0"/>
        <w:ind w:left="400" w:leftChars="200" w:firstLine="231" w:firstLineChars="115"/>
        <w:jc w:val="both"/>
        <w:rPr>
          <w:rFonts w:ascii="Arial" w:hAnsi="Arial" w:eastAsia="Arial" w:cs="Arial"/>
          <w:lang w:val="en-GB"/>
        </w:rPr>
      </w:pPr>
      <w:r>
        <w:rPr>
          <w:b/>
          <w:bCs/>
        </w:rPr>
        <w:t>T</w:t>
      </w:r>
      <w:r>
        <w:rPr>
          <w:rFonts w:ascii="Arial" w:hAnsi="Arial" w:eastAsia="Arial" w:cs="Arial"/>
          <w:b/>
          <w:bCs/>
          <w:lang w:val="en-GB"/>
        </w:rPr>
        <w:t>ime to trigger (TTT)</w:t>
      </w:r>
      <w:r>
        <w:rPr>
          <w:rFonts w:ascii="Arial" w:hAnsi="Arial" w:eastAsia="Arial" w:cs="Arial"/>
          <w:lang w:val="en-GB"/>
        </w:rPr>
        <w:t xml:space="preserve"> is the time during which specific criteria for the event needs to be met for the UE to send a measurement report to the network. </w:t>
      </w:r>
    </w:p>
    <w:p w14:paraId="6CEBB324">
      <w:pPr>
        <w:spacing w:before="240" w:beforeAutospacing="0" w:after="115" w:afterAutospacing="0"/>
        <w:ind w:left="400" w:leftChars="200" w:firstLine="230" w:firstLineChars="115"/>
        <w:jc w:val="both"/>
        <w:rPr>
          <w:rFonts w:ascii="Arial" w:hAnsi="Arial" w:eastAsia="Arial" w:cs="Arial"/>
          <w:lang w:val="en-GB"/>
        </w:rPr>
      </w:pPr>
      <w:r>
        <w:rPr>
          <w:rFonts w:ascii="Arial" w:hAnsi="Arial" w:eastAsia="Arial" w:cs="Arial"/>
          <w:b/>
          <w:bCs/>
          <w:lang w:val="en-GB"/>
        </w:rPr>
        <w:t>Hysteresis</w:t>
      </w:r>
      <w:r>
        <w:rPr>
          <w:rFonts w:ascii="Arial" w:hAnsi="Arial" w:eastAsia="Arial" w:cs="Arial"/>
          <w:lang w:val="en-GB"/>
        </w:rPr>
        <w:t xml:space="preserve"> in LTM measurement reporting can help stabilize network behaviour and improve performance by preventing rapid fluctuations and ensuring that transitions are based on sustained and significant changes rather than transient conditions. When the UE is considering entering a new cell or network area or leaving a serving cell, hysteresis for entering/leaving helps prevent the device from moving to a new cell due to temporary and minor improvements in signal quality or strength. The hysteresis value creates a threshold that must be surpassed before the UE can trigger a handover or cell reselection. This means that the signal quality of the new cell must be significantly better than the current cell, accounting for the hysteresis margin, before a handover decision is made.</w:t>
      </w:r>
      <w:r>
        <w:rPr>
          <w:rFonts w:ascii="Arial" w:hAnsi="Arial" w:eastAsia="Arial" w:cs="Arial"/>
          <w:sz w:val="20"/>
          <w:szCs w:val="20"/>
          <w:lang w:val="en-GB"/>
        </w:rPr>
        <w:t xml:space="preserve"> If the hysteresis for leaving criteria is met, it means that the quality of the serving cell has degraded enough to consider leaving. At this point, the UE will report its measurements to the network, including the signal strength of neighboring cells and the current cell.</w:t>
      </w:r>
    </w:p>
    <w:p w14:paraId="1EC5BC9C">
      <w:pPr>
        <w:spacing w:before="240" w:beforeAutospacing="0" w:after="115" w:afterAutospacing="0"/>
        <w:ind w:left="400" w:leftChars="200" w:firstLine="230" w:firstLineChars="115"/>
        <w:jc w:val="both"/>
        <w:rPr>
          <w:rFonts w:ascii="Arial" w:hAnsi="Arial" w:eastAsia="Arial" w:cs="Arial"/>
          <w:lang w:val="en-GB"/>
        </w:rPr>
      </w:pPr>
      <w:r>
        <w:rPr>
          <w:rFonts w:ascii="Arial" w:hAnsi="Arial" w:eastAsia="Arial" w:cs="Arial"/>
          <w:b/>
          <w:bCs/>
          <w:lang w:val="en-GB"/>
        </w:rPr>
        <w:t>Beam Specific Offset</w:t>
      </w:r>
      <w:r>
        <w:rPr>
          <w:rFonts w:ascii="Arial" w:hAnsi="Arial" w:eastAsia="Arial" w:cs="Arial"/>
          <w:lang w:val="en-GB"/>
        </w:rPr>
        <w:t xml:space="preserve"> refers to a parameter used to adjust or fine-tune the conditions under which beam-specific decisions are made in the context of mobility events. </w:t>
      </w:r>
    </w:p>
    <w:p w14:paraId="350EB25A">
      <w:pPr>
        <w:spacing w:before="240" w:beforeAutospacing="0" w:after="115" w:afterAutospacing="0"/>
        <w:ind w:left="400" w:leftChars="200" w:firstLine="230" w:firstLineChars="115"/>
        <w:jc w:val="both"/>
        <w:rPr>
          <w:rFonts w:ascii="Arial" w:hAnsi="Arial" w:eastAsia="Arial" w:cs="Arial"/>
          <w:lang w:val="en-GB"/>
        </w:rPr>
      </w:pPr>
      <w:r>
        <w:rPr>
          <w:rFonts w:ascii="Arial" w:hAnsi="Arial" w:eastAsia="Arial" w:cs="Arial"/>
          <w:b/>
          <w:bCs/>
          <w:lang w:val="en-GB"/>
        </w:rPr>
        <w:t xml:space="preserve">Cell specific offset </w:t>
      </w:r>
      <w:r>
        <w:rPr>
          <w:rFonts w:ascii="Arial" w:hAnsi="Arial" w:eastAsia="Arial" w:cs="Arial"/>
          <w:lang w:val="en-GB"/>
        </w:rPr>
        <w:t xml:space="preserve">includes fine tuning the cell quality threshold parameters based on which the cell specific decisions rely upon. It essentially provides an offset or adjustment value for evaluating the quality or performance of signals from different cells and their beams. This shall lead to better management of signal quality and user mobility. As cell specific measurements are obtained from the L3 filtering of the beams of corresponding gNBs, thus both beam specific and cell specific offset can effectively better manage the UE mobility. </w:t>
      </w:r>
    </w:p>
    <w:p w14:paraId="0D727C38">
      <w:pPr>
        <w:spacing w:before="240" w:beforeAutospacing="0" w:after="115" w:afterAutospacing="0"/>
        <w:ind w:left="400" w:leftChars="200" w:firstLine="230" w:firstLineChars="115"/>
        <w:jc w:val="both"/>
        <w:rPr>
          <w:rFonts w:ascii="Arial" w:hAnsi="Arial" w:eastAsia="Arial" w:cs="Arial"/>
          <w:b/>
          <w:bCs/>
          <w:lang w:val="en-IN" w:eastAsia="zh-CN"/>
        </w:rPr>
      </w:pPr>
      <w:r>
        <w:rPr>
          <w:rFonts w:ascii="Arial" w:hAnsi="Arial" w:eastAsia="Arial" w:cs="Arial"/>
          <w:b/>
          <w:bCs/>
          <w:lang w:val="en-US" w:eastAsia="zh-CN"/>
        </w:rPr>
        <w:t xml:space="preserve">Proposal </w:t>
      </w:r>
      <w:r>
        <w:rPr>
          <w:rFonts w:hint="default" w:eastAsia="Arial" w:cs="Arial"/>
          <w:b/>
          <w:bCs/>
          <w:lang w:val="en-IN" w:eastAsia="zh-CN"/>
        </w:rPr>
        <w:t>7</w:t>
      </w:r>
      <w:r>
        <w:rPr>
          <w:rFonts w:ascii="Arial" w:hAnsi="Arial" w:eastAsia="Arial" w:cs="Arial"/>
          <w:b/>
          <w:bCs/>
          <w:lang w:val="en-US" w:eastAsia="zh-CN"/>
        </w:rPr>
        <w:t xml:space="preserve">: For LTM event evaluation, TTT, </w:t>
      </w:r>
      <w:r>
        <w:rPr>
          <w:rFonts w:ascii="Arial" w:hAnsi="Arial" w:eastAsia="Arial" w:cs="Arial"/>
          <w:b/>
          <w:bCs/>
          <w:lang w:val="en-IN" w:eastAsia="zh-CN"/>
        </w:rPr>
        <w:t>hysteresis for entering/leaving, beam specific as well as cell specific offset can be applied.</w:t>
      </w:r>
    </w:p>
    <w:p w14:paraId="6752BB46">
      <w:pPr>
        <w:spacing w:before="240" w:beforeAutospacing="0" w:after="115" w:afterAutospacing="0"/>
        <w:ind w:left="400" w:leftChars="200" w:firstLine="230" w:firstLineChars="115"/>
        <w:jc w:val="both"/>
        <w:rPr>
          <w:rFonts w:ascii="Arial" w:hAnsi="Arial" w:eastAsia="Arial" w:cs="Arial"/>
          <w:b/>
          <w:bCs/>
          <w:lang w:val="en-IN" w:eastAsia="zh-CN"/>
        </w:rPr>
      </w:pPr>
      <w:r>
        <w:rPr>
          <w:rFonts w:ascii="Arial" w:hAnsi="Arial" w:eastAsia="Arial" w:cs="Arial"/>
          <w:b/>
          <w:bCs/>
          <w:lang w:val="en-IN" w:eastAsia="zh-CN"/>
        </w:rPr>
        <w:t xml:space="preserve">Proposal </w:t>
      </w:r>
      <w:r>
        <w:rPr>
          <w:rFonts w:hint="default" w:eastAsia="Arial" w:cs="Arial"/>
          <w:b/>
          <w:bCs/>
          <w:lang w:val="en-IN" w:eastAsia="zh-CN"/>
        </w:rPr>
        <w:t>8</w:t>
      </w:r>
      <w:r>
        <w:rPr>
          <w:rFonts w:ascii="Arial" w:hAnsi="Arial" w:eastAsia="Arial" w:cs="Arial"/>
          <w:b/>
          <w:bCs/>
          <w:lang w:val="en-IN" w:eastAsia="zh-CN"/>
        </w:rPr>
        <w:t xml:space="preserve">: Measurement reporting can be initiated when the hysteresis for entering/leaving is met for the candidates and serving cell.  </w:t>
      </w:r>
    </w:p>
    <w:p w14:paraId="51540ADD">
      <w:pPr>
        <w:spacing w:before="240" w:beforeAutospacing="0" w:after="115" w:afterAutospacing="0"/>
        <w:ind w:left="400" w:leftChars="200" w:firstLine="230" w:firstLineChars="115"/>
        <w:jc w:val="both"/>
        <w:rPr>
          <w:rFonts w:ascii="Arial" w:hAnsi="Arial" w:eastAsia="Arial" w:cs="Arial"/>
          <w:b/>
          <w:bCs/>
          <w:lang w:val="en-GB"/>
        </w:rPr>
      </w:pPr>
      <w:r>
        <w:rPr>
          <w:rFonts w:ascii="Arial" w:hAnsi="Arial" w:eastAsia="Arial" w:cs="Arial"/>
          <w:b/>
          <w:bCs/>
          <w:lang w:val="en-IN" w:eastAsia="zh-CN"/>
        </w:rPr>
        <w:t xml:space="preserve">Proposal </w:t>
      </w:r>
      <w:r>
        <w:rPr>
          <w:rFonts w:hint="default" w:eastAsia="Arial" w:cs="Arial"/>
          <w:b/>
          <w:bCs/>
          <w:lang w:val="en-IN" w:eastAsia="zh-CN"/>
        </w:rPr>
        <w:t>9</w:t>
      </w:r>
      <w:r>
        <w:rPr>
          <w:rFonts w:ascii="Arial" w:hAnsi="Arial" w:eastAsia="Arial" w:cs="Arial"/>
          <w:b/>
          <w:bCs/>
          <w:lang w:val="en-IN" w:eastAsia="zh-CN"/>
        </w:rPr>
        <w:t>: Measurement reporting incase of high mobility/fast fading channel/wideband Doppler can be based on L1 gathered information. Measurement reporting incase of low mobility/slow fading channel/Narrowband Doppler can be based on L3 gathered information</w:t>
      </w:r>
      <w:r>
        <w:rPr>
          <w:rFonts w:ascii="Arial" w:hAnsi="Arial" w:eastAsia="Arial" w:cs="Arial"/>
          <w:b/>
          <w:bCs/>
          <w:lang w:val="en-GB"/>
        </w:rPr>
        <w:t xml:space="preserve">. </w:t>
      </w:r>
    </w:p>
    <w:p w14:paraId="1FAEDAC0">
      <w:pPr>
        <w:ind w:left="0"/>
        <w:rPr>
          <w:b/>
          <w:bCs/>
          <w:lang w:val="en-US"/>
        </w:rPr>
      </w:pPr>
    </w:p>
    <w:p w14:paraId="0BABB58C">
      <w:pPr>
        <w:pStyle w:val="2"/>
        <w:ind w:hanging="792"/>
      </w:pPr>
      <w:r>
        <w:t>Conclusion</w:t>
      </w:r>
    </w:p>
    <w:p w14:paraId="7E40B66E">
      <w:pPr>
        <w:spacing w:before="240" w:beforeAutospacing="0" w:after="115" w:afterAutospacing="0"/>
        <w:ind w:left="400" w:leftChars="200" w:firstLine="229" w:firstLineChars="115"/>
        <w:jc w:val="both"/>
        <w:rPr>
          <w:rFonts w:ascii="Arial" w:hAnsi="Arial" w:eastAsia="Arial" w:cs="Arial"/>
          <w:b w:val="0"/>
          <w:bCs w:val="0"/>
          <w:lang w:val="en-US"/>
        </w:rPr>
      </w:pPr>
      <w:r>
        <w:rPr>
          <w:rFonts w:ascii="Arial" w:hAnsi="Arial" w:eastAsia="Arial" w:cs="Arial"/>
          <w:b w:val="0"/>
          <w:bCs w:val="0"/>
          <w:lang w:val="en-US"/>
        </w:rPr>
        <w:t>In this contribution, the following proposals are made:</w:t>
      </w:r>
    </w:p>
    <w:p w14:paraId="78D6EA1A">
      <w:pPr>
        <w:spacing w:before="240" w:beforeAutospacing="0" w:after="115" w:afterAutospacing="0"/>
        <w:ind w:left="400" w:leftChars="200" w:firstLine="230" w:firstLineChars="115"/>
        <w:jc w:val="both"/>
        <w:rPr>
          <w:rFonts w:ascii="Arial" w:hAnsi="Arial" w:eastAsia="Arial" w:cs="Arial"/>
          <w:b/>
          <w:bCs/>
          <w:lang w:val="en-IN"/>
        </w:rPr>
      </w:pPr>
      <w:r>
        <w:rPr>
          <w:rFonts w:ascii="Arial" w:hAnsi="Arial" w:eastAsia="Arial" w:cs="Arial"/>
          <w:b/>
          <w:bCs/>
          <w:lang w:val="en-IN"/>
        </w:rPr>
        <w:t xml:space="preserve">Proposal 1: L1 Filtering for every candidate gNB - Select the K best beams measurement from the set of candidates gNB beam measurements. The selected beams are used for Event evaluation. The criteria to select the K set of beams is UE specific.    </w:t>
      </w:r>
    </w:p>
    <w:p w14:paraId="190F0358">
      <w:pPr>
        <w:spacing w:before="240" w:beforeAutospacing="0" w:after="115" w:afterAutospacing="0"/>
        <w:ind w:left="400" w:leftChars="200" w:firstLine="230" w:firstLineChars="115"/>
        <w:jc w:val="both"/>
        <w:rPr>
          <w:rFonts w:ascii="Arial" w:hAnsi="Arial" w:eastAsia="Arial" w:cs="Arial"/>
          <w:b/>
          <w:bCs/>
          <w:lang w:val="en-US"/>
        </w:rPr>
      </w:pPr>
      <w:r>
        <w:rPr>
          <w:rFonts w:ascii="Arial" w:hAnsi="Arial" w:eastAsia="Arial" w:cs="Arial"/>
          <w:b/>
          <w:bCs/>
          <w:lang w:val="en-IN"/>
        </w:rPr>
        <w:t>Proposal 2: L3 Filtering via Averaging - Beam level measurements of a selected candidate cell or serving cell to be averaged to determine the cell quality/cell level measurements of the candidate cell or the serving cell.</w:t>
      </w:r>
    </w:p>
    <w:p w14:paraId="01E13D06">
      <w:pPr>
        <w:spacing w:before="240" w:beforeAutospacing="0" w:after="115" w:afterAutospacing="0"/>
        <w:ind w:left="400" w:leftChars="200" w:firstLine="230" w:firstLineChars="115"/>
        <w:jc w:val="both"/>
        <w:rPr>
          <w:rFonts w:ascii="Arial" w:hAnsi="Arial" w:eastAsia="Arial" w:cs="Arial"/>
          <w:b/>
          <w:bCs/>
          <w:lang w:val="en-IN"/>
        </w:rPr>
      </w:pPr>
      <w:r>
        <w:rPr>
          <w:rFonts w:ascii="Arial" w:hAnsi="Arial" w:eastAsia="Arial" w:cs="Arial"/>
          <w:b/>
          <w:bCs/>
          <w:lang w:val="en-US"/>
        </w:rPr>
        <w:t xml:space="preserve">Proposal 3: Based on mobility class, beam level measurement or cell level measurement can be chosen. Appropriate Weighting can be used to make the LTM as more robust.  </w:t>
      </w:r>
    </w:p>
    <w:p w14:paraId="0BDF4AEE">
      <w:pPr>
        <w:spacing w:before="240" w:beforeAutospacing="0" w:after="115" w:afterAutospacing="0"/>
        <w:ind w:left="400" w:leftChars="200" w:firstLine="230" w:firstLineChars="115"/>
        <w:jc w:val="both"/>
        <w:rPr>
          <w:rFonts w:ascii="Arial" w:hAnsi="Arial" w:eastAsia="Arial" w:cs="Arial"/>
          <w:b/>
          <w:bCs/>
          <w:lang w:val="en-US"/>
        </w:rPr>
      </w:pPr>
      <w:r>
        <w:rPr>
          <w:rFonts w:ascii="Arial" w:hAnsi="Arial" w:eastAsia="Arial" w:cs="Arial"/>
          <w:b/>
          <w:bCs/>
          <w:lang w:val="en-US"/>
        </w:rPr>
        <w:t xml:space="preserve">Proposal </w:t>
      </w:r>
      <w:r>
        <w:rPr>
          <w:rFonts w:ascii="Arial" w:hAnsi="Arial" w:eastAsia="Arial" w:cs="Arial"/>
          <w:b/>
          <w:bCs/>
          <w:lang w:val="en-IN"/>
        </w:rPr>
        <w:t>4</w:t>
      </w:r>
      <w:r>
        <w:rPr>
          <w:rFonts w:ascii="Arial" w:hAnsi="Arial" w:eastAsia="Arial" w:cs="Arial"/>
          <w:b/>
          <w:bCs/>
          <w:lang w:val="en-US"/>
        </w:rPr>
        <w:t>: For the input of L1 event evaluation, RAN2 should consider both beam-level measurement results and cell-level measurement results (e.g., based on the consolidation of multiple beams of a cell).</w:t>
      </w:r>
    </w:p>
    <w:p w14:paraId="16B2D76A">
      <w:pPr>
        <w:spacing w:before="240" w:beforeAutospacing="0" w:after="115" w:afterAutospacing="0"/>
        <w:ind w:left="400" w:leftChars="200" w:firstLine="230" w:firstLineChars="115"/>
        <w:jc w:val="both"/>
        <w:rPr>
          <w:rFonts w:ascii="Arial" w:hAnsi="Arial" w:eastAsia="Arial" w:cs="Arial"/>
          <w:lang w:val="en-IN"/>
        </w:rPr>
      </w:pPr>
      <w:r>
        <w:rPr>
          <w:rFonts w:ascii="Arial" w:hAnsi="Arial" w:eastAsia="Arial" w:cs="Arial"/>
          <w:b/>
          <w:bCs/>
          <w:lang w:val="en-US"/>
        </w:rPr>
        <w:t xml:space="preserve">Proposal </w:t>
      </w:r>
      <w:r>
        <w:rPr>
          <w:rFonts w:hint="default" w:eastAsia="Arial" w:cs="Arial"/>
          <w:b/>
          <w:bCs/>
          <w:lang w:val="en-IN"/>
        </w:rPr>
        <w:t>5</w:t>
      </w:r>
      <w:r>
        <w:rPr>
          <w:rFonts w:ascii="Arial" w:hAnsi="Arial" w:eastAsia="Arial" w:cs="Arial"/>
          <w:b/>
          <w:bCs/>
          <w:lang w:val="en-US"/>
        </w:rPr>
        <w:t>:</w:t>
      </w:r>
      <w:r>
        <w:rPr>
          <w:rFonts w:ascii="Arial" w:hAnsi="Arial" w:eastAsia="Arial" w:cs="Arial"/>
          <w:b/>
          <w:bCs/>
          <w:lang w:val="en-IN"/>
        </w:rPr>
        <w:t xml:space="preserve"> </w:t>
      </w:r>
      <w:r>
        <w:rPr>
          <w:rFonts w:hint="default" w:eastAsia="Arial" w:cs="Arial"/>
          <w:b/>
          <w:bCs/>
          <w:lang w:val="en-IN"/>
        </w:rPr>
        <w:t>Based on UE state, Serving gNB indicates that SSB or CSI-RS based event triggered L1 measurement report is required</w:t>
      </w:r>
      <w:r>
        <w:rPr>
          <w:rFonts w:ascii="Arial" w:hAnsi="Arial" w:eastAsia="Arial" w:cs="Arial"/>
          <w:b/>
          <w:bCs/>
          <w:lang w:val="en-IN"/>
        </w:rPr>
        <w:t>.</w:t>
      </w:r>
      <w:r>
        <w:rPr>
          <w:rFonts w:hint="default" w:eastAsia="Arial" w:cs="Arial"/>
          <w:b/>
          <w:bCs/>
          <w:lang w:val="en-IN"/>
        </w:rPr>
        <w:t xml:space="preserve"> This information is shared to UE as part of RRC Reconfiguration msg.</w:t>
      </w:r>
    </w:p>
    <w:p w14:paraId="0946DE33">
      <w:pPr>
        <w:spacing w:before="240" w:beforeAutospacing="0" w:after="115" w:afterAutospacing="0"/>
        <w:ind w:left="400" w:leftChars="200" w:firstLine="230" w:firstLineChars="115"/>
        <w:jc w:val="both"/>
        <w:rPr>
          <w:rFonts w:hint="default"/>
          <w:b/>
          <w:bCs/>
          <w:lang w:val="en-IN" w:eastAsia="zh-CN"/>
        </w:rPr>
      </w:pPr>
      <w:r>
        <w:rPr>
          <w:rFonts w:ascii="Arial" w:hAnsi="Arial" w:eastAsia="Arial" w:cs="Arial"/>
          <w:b/>
          <w:bCs/>
          <w:lang w:val="en-US"/>
        </w:rPr>
        <w:t xml:space="preserve">Proposal </w:t>
      </w:r>
      <w:r>
        <w:rPr>
          <w:rFonts w:hint="default" w:eastAsia="Arial" w:cs="Arial"/>
          <w:b/>
          <w:bCs/>
          <w:lang w:val="en-IN"/>
        </w:rPr>
        <w:t>6</w:t>
      </w:r>
      <w:r>
        <w:rPr>
          <w:rFonts w:ascii="Arial" w:hAnsi="Arial" w:eastAsia="Arial" w:cs="Arial"/>
          <w:b/>
          <w:bCs/>
          <w:lang w:val="en-US"/>
        </w:rPr>
        <w:t>:</w:t>
      </w:r>
      <w:r>
        <w:rPr>
          <w:rFonts w:ascii="Arial" w:hAnsi="Arial" w:eastAsia="Arial" w:cs="Arial"/>
          <w:b/>
          <w:bCs/>
          <w:lang w:val="en-IN"/>
        </w:rPr>
        <w:t xml:space="preserve"> For low mobility SSB based reference signal will be sent by serving gNB as a part of RRC reconfiguration msg.  For high mobility, CSI-RS based reference configurations can be sent by serving gNB as a part of RRC reconfiguration msg.</w:t>
      </w:r>
    </w:p>
    <w:p w14:paraId="2D9D66CB">
      <w:pPr>
        <w:spacing w:before="240" w:beforeAutospacing="0" w:after="115" w:afterAutospacing="0"/>
        <w:ind w:left="400" w:leftChars="200" w:firstLine="230" w:firstLineChars="115"/>
        <w:jc w:val="both"/>
        <w:rPr>
          <w:rFonts w:ascii="Arial" w:hAnsi="Arial" w:eastAsia="Arial" w:cs="Arial"/>
          <w:b/>
          <w:bCs/>
          <w:lang w:val="en-US"/>
        </w:rPr>
      </w:pPr>
      <w:r>
        <w:rPr>
          <w:rFonts w:ascii="Arial" w:hAnsi="Arial" w:eastAsia="Arial" w:cs="Arial"/>
          <w:b/>
          <w:bCs/>
          <w:lang w:val="en-US"/>
        </w:rPr>
        <w:t xml:space="preserve">Proposal </w:t>
      </w:r>
      <w:r>
        <w:rPr>
          <w:rFonts w:hint="default" w:eastAsia="Arial" w:cs="Arial"/>
          <w:b/>
          <w:bCs/>
          <w:lang w:val="en-IN"/>
        </w:rPr>
        <w:t>7</w:t>
      </w:r>
      <w:r>
        <w:rPr>
          <w:rFonts w:ascii="Arial" w:hAnsi="Arial" w:eastAsia="Arial" w:cs="Arial"/>
          <w:b/>
          <w:bCs/>
          <w:lang w:val="en-US"/>
        </w:rPr>
        <w:t>: For LTM event evaluation, TTT, hysteresis for entering/leaving, beam specific</w:t>
      </w:r>
      <w:r>
        <w:rPr>
          <w:rFonts w:hint="default" w:ascii="Arial" w:hAnsi="Arial" w:eastAsia="Arial" w:cs="Arial"/>
          <w:b/>
          <w:bCs/>
          <w:lang w:val="en-IN"/>
        </w:rPr>
        <w:t xml:space="preserve"> offset</w:t>
      </w:r>
      <w:r>
        <w:rPr>
          <w:rFonts w:ascii="Arial" w:hAnsi="Arial" w:eastAsia="Arial" w:cs="Arial"/>
          <w:b/>
          <w:bCs/>
          <w:lang w:val="en-US"/>
        </w:rPr>
        <w:t xml:space="preserve"> as well as cell specific offset can be applied.</w:t>
      </w:r>
    </w:p>
    <w:p w14:paraId="6B4EBC9C">
      <w:pPr>
        <w:spacing w:before="240" w:beforeAutospacing="0" w:after="115" w:afterAutospacing="0"/>
        <w:ind w:left="400" w:leftChars="200" w:firstLine="230" w:firstLineChars="115"/>
        <w:jc w:val="both"/>
        <w:rPr>
          <w:rFonts w:ascii="Arial" w:hAnsi="Arial" w:eastAsia="Arial" w:cs="Arial"/>
          <w:b/>
          <w:bCs/>
          <w:lang w:val="en-US"/>
        </w:rPr>
      </w:pPr>
      <w:r>
        <w:rPr>
          <w:rFonts w:ascii="Arial" w:hAnsi="Arial" w:eastAsia="Arial" w:cs="Arial"/>
          <w:b/>
          <w:bCs/>
          <w:lang w:val="en-US"/>
        </w:rPr>
        <w:t xml:space="preserve">Proposal </w:t>
      </w:r>
      <w:r>
        <w:rPr>
          <w:rFonts w:hint="default" w:eastAsia="Arial" w:cs="Arial"/>
          <w:b/>
          <w:bCs/>
          <w:lang w:val="en-IN"/>
        </w:rPr>
        <w:t>8</w:t>
      </w:r>
      <w:r>
        <w:rPr>
          <w:rFonts w:ascii="Arial" w:hAnsi="Arial" w:eastAsia="Arial" w:cs="Arial"/>
          <w:b/>
          <w:bCs/>
          <w:lang w:val="en-US"/>
        </w:rPr>
        <w:t xml:space="preserve">: Measurement reporting can be initiated when the hysteresis for entering/leaving is met for the candidates and serving cell.  </w:t>
      </w:r>
    </w:p>
    <w:p w14:paraId="77B1FAD6">
      <w:pPr>
        <w:spacing w:before="240" w:beforeAutospacing="0" w:after="115" w:afterAutospacing="0"/>
        <w:ind w:left="400" w:leftChars="200" w:firstLine="230" w:firstLineChars="115"/>
        <w:jc w:val="both"/>
        <w:rPr>
          <w:rFonts w:ascii="Arial" w:hAnsi="Arial" w:eastAsia="Arial" w:cs="Arial"/>
          <w:b/>
          <w:bCs/>
          <w:lang w:val="en-US"/>
        </w:rPr>
      </w:pPr>
      <w:r>
        <w:rPr>
          <w:rFonts w:ascii="Arial" w:hAnsi="Arial" w:eastAsia="Arial" w:cs="Arial"/>
          <w:b/>
          <w:bCs/>
          <w:lang w:val="en-US"/>
        </w:rPr>
        <w:t xml:space="preserve">Proposal </w:t>
      </w:r>
      <w:r>
        <w:rPr>
          <w:rFonts w:hint="default" w:eastAsia="Arial" w:cs="Arial"/>
          <w:b/>
          <w:bCs/>
          <w:lang w:val="en-IN"/>
        </w:rPr>
        <w:t>9</w:t>
      </w:r>
      <w:r>
        <w:rPr>
          <w:rFonts w:ascii="Arial" w:hAnsi="Arial" w:eastAsia="Arial" w:cs="Arial"/>
          <w:b/>
          <w:bCs/>
          <w:lang w:val="en-US"/>
        </w:rPr>
        <w:t>: Measurement reporting in</w:t>
      </w:r>
      <w:r>
        <w:rPr>
          <w:rFonts w:hint="default" w:ascii="Arial" w:hAnsi="Arial" w:eastAsia="Arial" w:cs="Arial"/>
          <w:b/>
          <w:bCs/>
          <w:lang w:val="en-IN"/>
        </w:rPr>
        <w:t>-</w:t>
      </w:r>
      <w:r>
        <w:rPr>
          <w:rFonts w:ascii="Arial" w:hAnsi="Arial" w:eastAsia="Arial" w:cs="Arial"/>
          <w:b/>
          <w:bCs/>
          <w:lang w:val="en-US"/>
        </w:rPr>
        <w:t>case of high mobility/fast fading channel/</w:t>
      </w:r>
      <w:r>
        <w:rPr>
          <w:rFonts w:hint="default" w:ascii="Arial" w:hAnsi="Arial" w:eastAsia="Arial" w:cs="Arial"/>
          <w:b/>
          <w:bCs/>
          <w:lang w:val="en-IN"/>
        </w:rPr>
        <w:t>larger</w:t>
      </w:r>
      <w:r>
        <w:rPr>
          <w:rFonts w:ascii="Arial" w:hAnsi="Arial" w:eastAsia="Arial" w:cs="Arial"/>
          <w:b/>
          <w:bCs/>
          <w:lang w:val="en-US"/>
        </w:rPr>
        <w:t xml:space="preserve"> Doppler</w:t>
      </w:r>
      <w:r>
        <w:rPr>
          <w:rFonts w:hint="default" w:ascii="Arial" w:hAnsi="Arial" w:eastAsia="Arial" w:cs="Arial"/>
          <w:b/>
          <w:bCs/>
          <w:lang w:val="en-IN"/>
        </w:rPr>
        <w:t xml:space="preserve"> spread</w:t>
      </w:r>
      <w:r>
        <w:rPr>
          <w:rFonts w:ascii="Arial" w:hAnsi="Arial" w:eastAsia="Arial" w:cs="Arial"/>
          <w:b/>
          <w:bCs/>
          <w:lang w:val="en-US"/>
        </w:rPr>
        <w:t xml:space="preserve"> can be based on L1 gathered information. Measurement reporting in</w:t>
      </w:r>
      <w:r>
        <w:rPr>
          <w:rFonts w:hint="default" w:ascii="Arial" w:hAnsi="Arial" w:eastAsia="Arial" w:cs="Arial"/>
          <w:b/>
          <w:bCs/>
          <w:lang w:val="en-IN"/>
        </w:rPr>
        <w:t>-</w:t>
      </w:r>
      <w:r>
        <w:rPr>
          <w:rFonts w:ascii="Arial" w:hAnsi="Arial" w:eastAsia="Arial" w:cs="Arial"/>
          <w:b/>
          <w:bCs/>
          <w:lang w:val="en-US"/>
        </w:rPr>
        <w:t>case of low mobility/slow fading channel/</w:t>
      </w:r>
      <w:r>
        <w:rPr>
          <w:rFonts w:hint="default" w:ascii="Arial" w:hAnsi="Arial" w:eastAsia="Arial" w:cs="Arial"/>
          <w:b/>
          <w:bCs/>
          <w:lang w:val="en-IN"/>
        </w:rPr>
        <w:t>smaller</w:t>
      </w:r>
      <w:r>
        <w:rPr>
          <w:rFonts w:ascii="Arial" w:hAnsi="Arial" w:eastAsia="Arial" w:cs="Arial"/>
          <w:b/>
          <w:bCs/>
          <w:lang w:val="en-US"/>
        </w:rPr>
        <w:t xml:space="preserve"> Doppler</w:t>
      </w:r>
      <w:r>
        <w:rPr>
          <w:rFonts w:hint="default" w:ascii="Arial" w:hAnsi="Arial" w:eastAsia="Arial" w:cs="Arial"/>
          <w:b/>
          <w:bCs/>
          <w:lang w:val="en-IN"/>
        </w:rPr>
        <w:t xml:space="preserve"> spread</w:t>
      </w:r>
      <w:r>
        <w:rPr>
          <w:rFonts w:ascii="Arial" w:hAnsi="Arial" w:eastAsia="Arial" w:cs="Arial"/>
          <w:b/>
          <w:bCs/>
          <w:lang w:val="en-US"/>
        </w:rPr>
        <w:t xml:space="preserve"> can be based on L3 gathered information.</w:t>
      </w:r>
    </w:p>
    <w:p w14:paraId="63D236C3">
      <w:pPr>
        <w:pStyle w:val="2"/>
        <w:ind w:hanging="792"/>
      </w:pPr>
      <w:r>
        <w:t>References</w:t>
      </w:r>
    </w:p>
    <w:p w14:paraId="5B2DA94F">
      <w:pPr>
        <w:pStyle w:val="57"/>
        <w:numPr>
          <w:ilvl w:val="0"/>
          <w:numId w:val="17"/>
        </w:numPr>
        <w:ind w:left="987" w:leftChars="0"/>
        <w:textAlignment w:val="auto"/>
        <w:rPr>
          <w:rFonts w:ascii="Arial" w:hAnsi="Arial" w:eastAsia="Arial" w:cs="Arial"/>
          <w:lang w:val="en-IN" w:eastAsia="zh-CN" w:bidi="ar-SA"/>
        </w:rPr>
      </w:pPr>
      <w:bookmarkStart w:id="2" w:name="OLE_LINK34"/>
      <w:r>
        <w:rPr>
          <w:rFonts w:ascii="Arial" w:hAnsi="Arial" w:eastAsia="Arial" w:cs="Arial"/>
          <w:lang w:val="en-IN" w:eastAsia="zh-CN" w:bidi="ar-SA"/>
        </w:rPr>
        <w:t>R2-2405701</w:t>
      </w:r>
      <w:r>
        <w:rPr>
          <w:rFonts w:hint="default" w:ascii="Arial" w:hAnsi="Arial" w:eastAsia="Arial" w:cs="Arial"/>
          <w:lang w:val="en-IN" w:eastAsia="zh-CN" w:bidi="ar-SA"/>
        </w:rPr>
        <w:t xml:space="preserve"> “</w:t>
      </w:r>
      <w:r>
        <w:rPr>
          <w:rFonts w:ascii="Arial" w:hAnsi="Arial" w:eastAsia="Arial" w:cs="Arial"/>
          <w:lang w:val="en-IN" w:eastAsia="zh-CN" w:bidi="ar-SA"/>
        </w:rPr>
        <w:t>Report from session on V2X/SL, R19 NES and MOB</w:t>
      </w:r>
      <w:r>
        <w:rPr>
          <w:rFonts w:hint="default" w:ascii="Arial" w:hAnsi="Arial" w:eastAsia="Arial" w:cs="Arial"/>
          <w:lang w:val="en-IN" w:eastAsia="zh-CN" w:bidi="ar-SA"/>
        </w:rPr>
        <w:t xml:space="preserve">”, </w:t>
      </w:r>
      <w:r>
        <w:rPr>
          <w:rFonts w:hint="eastAsia" w:ascii="Arial" w:hAnsi="Arial" w:eastAsia="Arial" w:cs="Arial"/>
          <w:lang w:val="en-IN" w:eastAsia="zh-CN" w:bidi="ar-SA"/>
        </w:rPr>
        <w:t>Vice Chairman (Samsung)</w:t>
      </w:r>
      <w:r>
        <w:rPr>
          <w:rFonts w:hint="default" w:ascii="Arial" w:hAnsi="Arial" w:eastAsia="Arial" w:cs="Arial"/>
          <w:lang w:val="en-IN" w:eastAsia="zh-CN" w:bidi="ar-SA"/>
        </w:rPr>
        <w:t>.</w:t>
      </w:r>
    </w:p>
    <w:p w14:paraId="23C51BF2">
      <w:pPr>
        <w:pStyle w:val="57"/>
        <w:numPr>
          <w:ilvl w:val="0"/>
          <w:numId w:val="17"/>
        </w:numPr>
        <w:ind w:left="987" w:leftChars="0"/>
        <w:jc w:val="left"/>
        <w:textAlignment w:val="auto"/>
        <w:rPr>
          <w:rFonts w:ascii="Arial" w:hAnsi="Arial" w:eastAsia="Arial" w:cs="Arial"/>
          <w:lang w:val="en-IN" w:eastAsia="zh-CN" w:bidi="ar-SA"/>
        </w:rPr>
      </w:pPr>
      <w:r>
        <w:rPr>
          <w:rFonts w:ascii="Arial" w:hAnsi="Arial" w:eastAsia="Arial" w:cs="Arial"/>
          <w:lang w:val="en-IN" w:eastAsia="zh-CN" w:bidi="ar-SA"/>
        </w:rPr>
        <w:t>38.300, NR; NR and NG-RAN Overall Description; Stage 2</w:t>
      </w:r>
      <w:r>
        <w:rPr>
          <w:rFonts w:hint="eastAsia" w:ascii="Arial" w:hAnsi="Arial" w:eastAsia="Arial" w:cs="Arial"/>
          <w:lang w:val="en-IN" w:eastAsia="zh-CN" w:bidi="ar-SA"/>
        </w:rPr>
        <w:t>,</w:t>
      </w:r>
      <w:r>
        <w:rPr>
          <w:rFonts w:ascii="Arial" w:hAnsi="Arial" w:eastAsia="Arial" w:cs="Arial"/>
          <w:lang w:val="en-IN" w:eastAsia="zh-CN" w:bidi="ar-SA"/>
        </w:rPr>
        <w:t xml:space="preserve"> 18.</w:t>
      </w:r>
      <w:r>
        <w:rPr>
          <w:rFonts w:hint="eastAsia" w:ascii="Arial" w:hAnsi="Arial" w:eastAsia="Arial" w:cs="Arial"/>
          <w:lang w:val="en-IN" w:eastAsia="zh-CN" w:bidi="ar-SA"/>
        </w:rPr>
        <w:t>1</w:t>
      </w:r>
      <w:r>
        <w:rPr>
          <w:rFonts w:ascii="Arial" w:hAnsi="Arial" w:eastAsia="Arial" w:cs="Arial"/>
          <w:lang w:val="en-IN" w:eastAsia="zh-CN" w:bidi="ar-SA"/>
        </w:rPr>
        <w:t>.0</w:t>
      </w:r>
    </w:p>
    <w:p w14:paraId="14466F31">
      <w:pPr>
        <w:pStyle w:val="57"/>
        <w:numPr>
          <w:ilvl w:val="0"/>
          <w:numId w:val="17"/>
        </w:numPr>
        <w:ind w:left="987" w:leftChars="0"/>
        <w:jc w:val="left"/>
        <w:textAlignment w:val="auto"/>
      </w:pPr>
      <w:r>
        <w:rPr>
          <w:rFonts w:hint="default" w:ascii="Arial" w:hAnsi="Arial" w:eastAsia="Arial" w:cs="Arial"/>
          <w:lang w:val="en-IN" w:eastAsia="zh-CN" w:bidi="ar-SA"/>
        </w:rPr>
        <w:t>RP-234036- New WID: NR mobility enhancements Phase 4</w:t>
      </w:r>
      <w:r>
        <w:rPr>
          <w:rFonts w:ascii="Arial" w:hAnsi="Arial" w:eastAsia="Arial" w:cs="Arial"/>
          <w:lang w:val="en-IN" w:eastAsia="zh-CN" w:bidi="ar-SA"/>
        </w:rPr>
        <w:t xml:space="preserve"> </w:t>
      </w:r>
    </w:p>
    <w:bookmarkEnd w:id="2"/>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29D1C7F"/>
    <w:multiLevelType w:val="singleLevel"/>
    <w:tmpl w:val="129D1C7F"/>
    <w:lvl w:ilvl="0" w:tentative="0">
      <w:start w:val="1"/>
      <w:numFmt w:val="decimal"/>
      <w:lvlText w:val="%1."/>
      <w:lvlJc w:val="left"/>
      <w:pPr>
        <w:tabs>
          <w:tab w:val="left" w:pos="425"/>
        </w:tabs>
        <w:ind w:left="425" w:leftChars="0" w:hanging="425" w:firstLineChars="0"/>
      </w:pPr>
      <w:rPr>
        <w:rFonts w:hint="default"/>
        <w:color w:val="auto"/>
      </w:rPr>
    </w:lvl>
  </w:abstractNum>
  <w:abstractNum w:abstractNumId="2">
    <w:nsid w:val="24DAF01B"/>
    <w:multiLevelType w:val="singleLevel"/>
    <w:tmpl w:val="24DAF01B"/>
    <w:lvl w:ilvl="0" w:tentative="0">
      <w:start w:val="1"/>
      <w:numFmt w:val="decimal"/>
      <w:suff w:val="space"/>
      <w:lvlText w:val="[%1]"/>
      <w:lvlJc w:val="left"/>
      <w:pPr>
        <w:ind w:left="420"/>
      </w:pPr>
    </w:lvl>
  </w:abstractNum>
  <w:abstractNum w:abstractNumId="3">
    <w:nsid w:val="3026620E"/>
    <w:multiLevelType w:val="multilevel"/>
    <w:tmpl w:val="3026620E"/>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Wingdings" w:hAnsi="Wingdings"/>
      </w:rPr>
    </w:lvl>
    <w:lvl w:ilvl="4" w:tentative="0">
      <w:start w:val="1"/>
      <w:numFmt w:val="bullet"/>
      <w:lvlText w:val=""/>
      <w:lvlJc w:val="left"/>
      <w:pPr>
        <w:ind w:left="3240" w:hanging="360"/>
      </w:pPr>
      <w:rPr>
        <w:rFonts w:hint="default" w:ascii="Wingdings" w:hAnsi="Wingdings"/>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Wingdings" w:hAnsi="Wingdings"/>
      </w:rPr>
    </w:lvl>
    <w:lvl w:ilvl="7" w:tentative="0">
      <w:start w:val="1"/>
      <w:numFmt w:val="bullet"/>
      <w:lvlText w:val=""/>
      <w:lvlJc w:val="left"/>
      <w:pPr>
        <w:ind w:left="5400" w:hanging="360"/>
      </w:pPr>
      <w:rPr>
        <w:rFonts w:hint="default" w:ascii="Wingdings" w:hAnsi="Wingdings"/>
      </w:rPr>
    </w:lvl>
    <w:lvl w:ilvl="8" w:tentative="0">
      <w:start w:val="1"/>
      <w:numFmt w:val="bullet"/>
      <w:lvlText w:val=""/>
      <w:lvlJc w:val="left"/>
      <w:pPr>
        <w:ind w:left="6120" w:hanging="360"/>
      </w:pPr>
      <w:rPr>
        <w:rFonts w:hint="default" w:ascii="Wingdings" w:hAnsi="Wingdings"/>
      </w:rPr>
    </w:lvl>
  </w:abstractNum>
  <w:abstractNum w:abstractNumId="4">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6301CC"/>
    <w:multiLevelType w:val="singleLevel"/>
    <w:tmpl w:val="3B6301CC"/>
    <w:lvl w:ilvl="0" w:tentative="0">
      <w:start w:val="1"/>
      <w:numFmt w:val="bullet"/>
      <w:pStyle w:val="121"/>
      <w:lvlText w:val=""/>
      <w:lvlJc w:val="left"/>
      <w:pPr>
        <w:tabs>
          <w:tab w:val="left" w:pos="1494"/>
        </w:tabs>
        <w:ind w:left="227" w:firstLine="907"/>
      </w:pPr>
      <w:rPr>
        <w:rFonts w:hint="default" w:ascii="Symbol" w:hAnsi="Symbol"/>
      </w:rPr>
    </w:lvl>
  </w:abstractNum>
  <w:abstractNum w:abstractNumId="8">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426B29"/>
    <w:multiLevelType w:val="multilevel"/>
    <w:tmpl w:val="52426B29"/>
    <w:lvl w:ilvl="0" w:tentative="0">
      <w:start w:val="1"/>
      <w:numFmt w:val="decimal"/>
      <w:pStyle w:val="103"/>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4">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16"/>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6">
    <w:nsid w:val="7BC330F5"/>
    <w:multiLevelType w:val="multilevel"/>
    <w:tmpl w:val="7BC330F5"/>
    <w:lvl w:ilvl="0" w:tentative="0">
      <w:start w:val="1"/>
      <w:numFmt w:val="bullet"/>
      <w:pStyle w:val="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9"/>
  </w:num>
  <w:num w:numId="4">
    <w:abstractNumId w:val="14"/>
  </w:num>
  <w:num w:numId="5">
    <w:abstractNumId w:val="5"/>
  </w:num>
  <w:num w:numId="6">
    <w:abstractNumId w:val="8"/>
  </w:num>
  <w:num w:numId="7">
    <w:abstractNumId w:val="10"/>
  </w:num>
  <w:num w:numId="8">
    <w:abstractNumId w:val="6"/>
  </w:num>
  <w:num w:numId="9">
    <w:abstractNumId w:val="11"/>
  </w:num>
  <w:num w:numId="10">
    <w:abstractNumId w:val="16"/>
  </w:num>
  <w:num w:numId="11">
    <w:abstractNumId w:val="13"/>
  </w:num>
  <w:num w:numId="12">
    <w:abstractNumId w:val="15"/>
  </w:num>
  <w:num w:numId="13">
    <w:abstractNumId w:val="12"/>
  </w:num>
  <w:num w:numId="14">
    <w:abstractNumId w:val="7"/>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316A8F7"/>
    <w:rsid w:val="034C6441"/>
    <w:rsid w:val="037F10E8"/>
    <w:rsid w:val="03FB7CB8"/>
    <w:rsid w:val="045D4251"/>
    <w:rsid w:val="046DFB65"/>
    <w:rsid w:val="057B6905"/>
    <w:rsid w:val="05DA6355"/>
    <w:rsid w:val="06232182"/>
    <w:rsid w:val="0655F3E3"/>
    <w:rsid w:val="068ECDF0"/>
    <w:rsid w:val="06E83D89"/>
    <w:rsid w:val="0712A1CC"/>
    <w:rsid w:val="076F4DB2"/>
    <w:rsid w:val="0871AF48"/>
    <w:rsid w:val="089864DD"/>
    <w:rsid w:val="08A5C9E3"/>
    <w:rsid w:val="08BA126F"/>
    <w:rsid w:val="08FFA802"/>
    <w:rsid w:val="09301FEC"/>
    <w:rsid w:val="0A305844"/>
    <w:rsid w:val="0A49CBD4"/>
    <w:rsid w:val="0A52AF50"/>
    <w:rsid w:val="0AC4AA24"/>
    <w:rsid w:val="0B0AB82D"/>
    <w:rsid w:val="0C6B57E0"/>
    <w:rsid w:val="0DF6AE99"/>
    <w:rsid w:val="0FC8A2D1"/>
    <w:rsid w:val="10779F94"/>
    <w:rsid w:val="11566420"/>
    <w:rsid w:val="1161CA5D"/>
    <w:rsid w:val="119D913F"/>
    <w:rsid w:val="11D4A378"/>
    <w:rsid w:val="1284A06B"/>
    <w:rsid w:val="13509E1C"/>
    <w:rsid w:val="13984D29"/>
    <w:rsid w:val="152C87FA"/>
    <w:rsid w:val="16372AD9"/>
    <w:rsid w:val="16868731"/>
    <w:rsid w:val="16A902A9"/>
    <w:rsid w:val="17CB2E65"/>
    <w:rsid w:val="17EDCFAF"/>
    <w:rsid w:val="18AB6E88"/>
    <w:rsid w:val="18BE00A7"/>
    <w:rsid w:val="19706CF4"/>
    <w:rsid w:val="19BCA9E4"/>
    <w:rsid w:val="1A0D1991"/>
    <w:rsid w:val="1A9F343D"/>
    <w:rsid w:val="1B1B7F24"/>
    <w:rsid w:val="1B374B68"/>
    <w:rsid w:val="1B6D1F56"/>
    <w:rsid w:val="1D5D13BA"/>
    <w:rsid w:val="1D8C446E"/>
    <w:rsid w:val="1DC414FA"/>
    <w:rsid w:val="1E0022A8"/>
    <w:rsid w:val="1E0C34D0"/>
    <w:rsid w:val="1EF36BA3"/>
    <w:rsid w:val="201A8E16"/>
    <w:rsid w:val="202480D2"/>
    <w:rsid w:val="203330E1"/>
    <w:rsid w:val="207E5ADF"/>
    <w:rsid w:val="20AEDA4C"/>
    <w:rsid w:val="20C37AD2"/>
    <w:rsid w:val="20D5BA98"/>
    <w:rsid w:val="20E3F2D9"/>
    <w:rsid w:val="212ED347"/>
    <w:rsid w:val="212F5CAA"/>
    <w:rsid w:val="22592A24"/>
    <w:rsid w:val="2313C387"/>
    <w:rsid w:val="2335B377"/>
    <w:rsid w:val="25564A10"/>
    <w:rsid w:val="258E136A"/>
    <w:rsid w:val="25E85D30"/>
    <w:rsid w:val="25F365AE"/>
    <w:rsid w:val="25FDA2E2"/>
    <w:rsid w:val="27532F3B"/>
    <w:rsid w:val="27E26DDC"/>
    <w:rsid w:val="285EEE69"/>
    <w:rsid w:val="28652ADE"/>
    <w:rsid w:val="2A92B70F"/>
    <w:rsid w:val="2A9820FA"/>
    <w:rsid w:val="2B216025"/>
    <w:rsid w:val="2B6957F6"/>
    <w:rsid w:val="2D65D478"/>
    <w:rsid w:val="2D7F6C26"/>
    <w:rsid w:val="2D81FB09"/>
    <w:rsid w:val="2F3C81D9"/>
    <w:rsid w:val="2F480F64"/>
    <w:rsid w:val="2F77EADF"/>
    <w:rsid w:val="2FB2DFFE"/>
    <w:rsid w:val="301594E1"/>
    <w:rsid w:val="30A320C1"/>
    <w:rsid w:val="32B8928E"/>
    <w:rsid w:val="32C9F414"/>
    <w:rsid w:val="32D91D8B"/>
    <w:rsid w:val="32E71805"/>
    <w:rsid w:val="331C00AD"/>
    <w:rsid w:val="333E6AA2"/>
    <w:rsid w:val="33628222"/>
    <w:rsid w:val="3372480A"/>
    <w:rsid w:val="33C4D2DA"/>
    <w:rsid w:val="357EA6E4"/>
    <w:rsid w:val="35FF89F4"/>
    <w:rsid w:val="3696710D"/>
    <w:rsid w:val="370327E0"/>
    <w:rsid w:val="37598005"/>
    <w:rsid w:val="375B6CF4"/>
    <w:rsid w:val="37A73AE4"/>
    <w:rsid w:val="380A6B0F"/>
    <w:rsid w:val="38240A52"/>
    <w:rsid w:val="38E3BF0E"/>
    <w:rsid w:val="3A6C5770"/>
    <w:rsid w:val="3AEF39CE"/>
    <w:rsid w:val="3C003F9B"/>
    <w:rsid w:val="3CACBD28"/>
    <w:rsid w:val="3CEF24BF"/>
    <w:rsid w:val="3CFE193E"/>
    <w:rsid w:val="3D027B47"/>
    <w:rsid w:val="3D5A5698"/>
    <w:rsid w:val="3E9FC14B"/>
    <w:rsid w:val="3EC9E736"/>
    <w:rsid w:val="3F5379D8"/>
    <w:rsid w:val="41076BAC"/>
    <w:rsid w:val="41CDBBE5"/>
    <w:rsid w:val="41D74A6C"/>
    <w:rsid w:val="437E6270"/>
    <w:rsid w:val="44701FCD"/>
    <w:rsid w:val="4491325C"/>
    <w:rsid w:val="449F776C"/>
    <w:rsid w:val="44E80649"/>
    <w:rsid w:val="45397E9B"/>
    <w:rsid w:val="454BC52E"/>
    <w:rsid w:val="45630994"/>
    <w:rsid w:val="45B96DA7"/>
    <w:rsid w:val="46864773"/>
    <w:rsid w:val="46FDE956"/>
    <w:rsid w:val="47150B08"/>
    <w:rsid w:val="473EEBCF"/>
    <w:rsid w:val="474E1A18"/>
    <w:rsid w:val="4834F74B"/>
    <w:rsid w:val="485A1AD2"/>
    <w:rsid w:val="48A04566"/>
    <w:rsid w:val="48A642EB"/>
    <w:rsid w:val="48BE62E5"/>
    <w:rsid w:val="48E54B54"/>
    <w:rsid w:val="491BBAEB"/>
    <w:rsid w:val="49601DF4"/>
    <w:rsid w:val="49730972"/>
    <w:rsid w:val="4996587B"/>
    <w:rsid w:val="4A567A45"/>
    <w:rsid w:val="4B330810"/>
    <w:rsid w:val="4B6D828B"/>
    <w:rsid w:val="4C29F39A"/>
    <w:rsid w:val="4C4203AD"/>
    <w:rsid w:val="4CF11927"/>
    <w:rsid w:val="4D7431BB"/>
    <w:rsid w:val="4D7B8D36"/>
    <w:rsid w:val="4D8897E7"/>
    <w:rsid w:val="4E3CB19B"/>
    <w:rsid w:val="4E67C921"/>
    <w:rsid w:val="50BB11A6"/>
    <w:rsid w:val="51193B9B"/>
    <w:rsid w:val="51957BFE"/>
    <w:rsid w:val="51E5841A"/>
    <w:rsid w:val="52B6993C"/>
    <w:rsid w:val="53348725"/>
    <w:rsid w:val="535575F9"/>
    <w:rsid w:val="536E3DAE"/>
    <w:rsid w:val="536F64D1"/>
    <w:rsid w:val="53AE55F7"/>
    <w:rsid w:val="53DE146C"/>
    <w:rsid w:val="544A250B"/>
    <w:rsid w:val="55001E00"/>
    <w:rsid w:val="55E93A47"/>
    <w:rsid w:val="560663C5"/>
    <w:rsid w:val="563D33AC"/>
    <w:rsid w:val="58304E00"/>
    <w:rsid w:val="589FCE64"/>
    <w:rsid w:val="58B5E4BC"/>
    <w:rsid w:val="58CD81CA"/>
    <w:rsid w:val="58EEF14D"/>
    <w:rsid w:val="594B1AF4"/>
    <w:rsid w:val="599D021C"/>
    <w:rsid w:val="5A83719B"/>
    <w:rsid w:val="5AD738D5"/>
    <w:rsid w:val="5AF0D37B"/>
    <w:rsid w:val="5B095B20"/>
    <w:rsid w:val="5BA6653B"/>
    <w:rsid w:val="5C193E7B"/>
    <w:rsid w:val="5CA81980"/>
    <w:rsid w:val="5CB9F943"/>
    <w:rsid w:val="5DDAA73D"/>
    <w:rsid w:val="5E4644C6"/>
    <w:rsid w:val="5E925CD0"/>
    <w:rsid w:val="5F5BEB92"/>
    <w:rsid w:val="5FC9004F"/>
    <w:rsid w:val="60413278"/>
    <w:rsid w:val="6062DD55"/>
    <w:rsid w:val="606A903C"/>
    <w:rsid w:val="60A7051F"/>
    <w:rsid w:val="60BF2442"/>
    <w:rsid w:val="60D933C2"/>
    <w:rsid w:val="6133A50F"/>
    <w:rsid w:val="6154B62B"/>
    <w:rsid w:val="619D6C8F"/>
    <w:rsid w:val="61C15FF2"/>
    <w:rsid w:val="627B8E2B"/>
    <w:rsid w:val="62A16505"/>
    <w:rsid w:val="62B6B5E8"/>
    <w:rsid w:val="63746868"/>
    <w:rsid w:val="637E150F"/>
    <w:rsid w:val="63A50A6D"/>
    <w:rsid w:val="6487A498"/>
    <w:rsid w:val="64AC2366"/>
    <w:rsid w:val="65032F90"/>
    <w:rsid w:val="65A55A81"/>
    <w:rsid w:val="65BA5E57"/>
    <w:rsid w:val="65C7EA8F"/>
    <w:rsid w:val="66033C71"/>
    <w:rsid w:val="66169C20"/>
    <w:rsid w:val="66462B29"/>
    <w:rsid w:val="66F6BE99"/>
    <w:rsid w:val="690A30BB"/>
    <w:rsid w:val="696191FF"/>
    <w:rsid w:val="6A1B5C26"/>
    <w:rsid w:val="6B501256"/>
    <w:rsid w:val="6B68BDDB"/>
    <w:rsid w:val="6BF9B46F"/>
    <w:rsid w:val="6C7A435A"/>
    <w:rsid w:val="6D7223DF"/>
    <w:rsid w:val="6DCA3B30"/>
    <w:rsid w:val="6ECE4DE2"/>
    <w:rsid w:val="70B66BEB"/>
    <w:rsid w:val="714F7560"/>
    <w:rsid w:val="7174E356"/>
    <w:rsid w:val="723F881E"/>
    <w:rsid w:val="727C6062"/>
    <w:rsid w:val="7306FA71"/>
    <w:rsid w:val="732E7AAA"/>
    <w:rsid w:val="7343C21D"/>
    <w:rsid w:val="74767E46"/>
    <w:rsid w:val="74AADE8B"/>
    <w:rsid w:val="74B5182A"/>
    <w:rsid w:val="7549132E"/>
    <w:rsid w:val="7604C879"/>
    <w:rsid w:val="760AE531"/>
    <w:rsid w:val="78379465"/>
    <w:rsid w:val="786C8473"/>
    <w:rsid w:val="78A5EA78"/>
    <w:rsid w:val="78C62C34"/>
    <w:rsid w:val="79268BFB"/>
    <w:rsid w:val="794D5387"/>
    <w:rsid w:val="79E280AF"/>
    <w:rsid w:val="7A7DEA26"/>
    <w:rsid w:val="7AEB8C29"/>
    <w:rsid w:val="7BF2560B"/>
    <w:rsid w:val="7CD90610"/>
    <w:rsid w:val="7CF61B59"/>
    <w:rsid w:val="7CF8A66A"/>
    <w:rsid w:val="7D4570E6"/>
    <w:rsid w:val="7DEB5D59"/>
    <w:rsid w:val="7F1F61F1"/>
    <w:rsid w:val="7F71D99E"/>
    <w:rsid w:val="7FEA7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3"/>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29"/>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4"/>
    <w:qFormat/>
    <w:uiPriority w:val="0"/>
  </w:style>
  <w:style w:type="paragraph" w:styleId="15">
    <w:name w:val="caption"/>
    <w:basedOn w:val="1"/>
    <w:next w:val="1"/>
    <w:link w:val="93"/>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table" w:styleId="4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1"/>
    <w:next w:val="1"/>
    <w:qFormat/>
    <w:uiPriority w:val="99"/>
    <w:pPr>
      <w:ind w:left="1418" w:hanging="1418"/>
      <w:jc w:val="left"/>
    </w:pPr>
    <w:rPr>
      <w:b/>
    </w:rPr>
  </w:style>
  <w:style w:type="paragraph" w:styleId="44">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5">
    <w:name w:val="toc 2"/>
    <w:basedOn w:val="44"/>
    <w:semiHidden/>
    <w:qFormat/>
    <w:uiPriority w:val="0"/>
    <w:pPr>
      <w:keepNext w:val="0"/>
      <w:spacing w:before="0"/>
      <w:ind w:left="851" w:hanging="851"/>
    </w:pPr>
    <w:rPr>
      <w:szCs w:val="20"/>
    </w:rPr>
  </w:style>
  <w:style w:type="paragraph" w:styleId="46">
    <w:name w:val="toc 3"/>
    <w:basedOn w:val="45"/>
    <w:semiHidden/>
    <w:qFormat/>
    <w:uiPriority w:val="0"/>
    <w:pPr>
      <w:ind w:left="1134" w:hanging="1134"/>
    </w:pPr>
  </w:style>
  <w:style w:type="paragraph" w:styleId="47">
    <w:name w:val="toc 4"/>
    <w:basedOn w:val="46"/>
    <w:semiHidden/>
    <w:qFormat/>
    <w:uiPriority w:val="0"/>
    <w:pPr>
      <w:ind w:left="1418" w:hanging="1418"/>
    </w:pPr>
  </w:style>
  <w:style w:type="paragraph" w:styleId="48">
    <w:name w:val="toc 5"/>
    <w:basedOn w:val="47"/>
    <w:semiHidden/>
    <w:qFormat/>
    <w:uiPriority w:val="0"/>
    <w:pPr>
      <w:tabs>
        <w:tab w:val="right" w:pos="1701"/>
      </w:tabs>
      <w:ind w:left="1701" w:hanging="1701"/>
    </w:pPr>
  </w:style>
  <w:style w:type="paragraph" w:styleId="49">
    <w:name w:val="toc 6"/>
    <w:basedOn w:val="48"/>
    <w:next w:val="1"/>
    <w:semiHidden/>
    <w:qFormat/>
    <w:uiPriority w:val="0"/>
    <w:pPr>
      <w:ind w:left="1985" w:hanging="1985"/>
    </w:pPr>
  </w:style>
  <w:style w:type="paragraph" w:styleId="50">
    <w:name w:val="toc 7"/>
    <w:basedOn w:val="49"/>
    <w:next w:val="1"/>
    <w:semiHidden/>
    <w:qFormat/>
    <w:uiPriority w:val="0"/>
    <w:pPr>
      <w:ind w:left="2268" w:hanging="2268"/>
    </w:pPr>
  </w:style>
  <w:style w:type="paragraph" w:styleId="51">
    <w:name w:val="toc 8"/>
    <w:basedOn w:val="44"/>
    <w:semiHidden/>
    <w:qFormat/>
    <w:uiPriority w:val="0"/>
    <w:pPr>
      <w:spacing w:before="180"/>
      <w:ind w:left="2693" w:hanging="2693"/>
    </w:pPr>
    <w:rPr>
      <w:b w:val="0"/>
      <w:bCs/>
    </w:rPr>
  </w:style>
  <w:style w:type="paragraph" w:styleId="52">
    <w:name w:val="toc 9"/>
    <w:basedOn w:val="51"/>
    <w:semiHidden/>
    <w:qFormat/>
    <w:uiPriority w:val="0"/>
    <w:pPr>
      <w:ind w:left="1418" w:hanging="1418"/>
    </w:pPr>
  </w:style>
  <w:style w:type="paragraph" w:customStyle="1" w:styleId="53">
    <w:name w:val="Figure"/>
    <w:basedOn w:val="1"/>
    <w:next w:val="15"/>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character" w:customStyle="1" w:styleId="58">
    <w:name w:val="标题 1 字符"/>
    <w:link w:val="2"/>
    <w:qFormat/>
    <w:uiPriority w:val="0"/>
    <w:rPr>
      <w:rFonts w:ascii="Arial" w:hAnsi="Arial" w:cs="Arial"/>
      <w:sz w:val="36"/>
      <w:szCs w:val="36"/>
      <w:lang w:val="en-GB"/>
    </w:rPr>
  </w:style>
  <w:style w:type="paragraph" w:customStyle="1" w:styleId="59">
    <w:name w:val="B1"/>
    <w:basedOn w:val="28"/>
    <w:link w:val="88"/>
    <w:qFormat/>
    <w:uiPriority w:val="0"/>
    <w:pPr>
      <w:spacing w:after="180"/>
      <w:jc w:val="left"/>
    </w:pPr>
    <w:rPr>
      <w:lang w:eastAsia="en-US"/>
    </w:rPr>
  </w:style>
  <w:style w:type="paragraph" w:customStyle="1" w:styleId="60">
    <w:name w:val="B2"/>
    <w:basedOn w:val="29"/>
    <w:link w:val="89"/>
    <w:qFormat/>
    <w:uiPriority w:val="0"/>
    <w:pPr>
      <w:spacing w:after="180"/>
      <w:jc w:val="left"/>
    </w:pPr>
    <w:rPr>
      <w:lang w:eastAsia="en-US"/>
    </w:rPr>
  </w:style>
  <w:style w:type="paragraph" w:customStyle="1" w:styleId="61">
    <w:name w:val="B3"/>
    <w:basedOn w:val="30"/>
    <w:link w:val="90"/>
    <w:qFormat/>
    <w:uiPriority w:val="0"/>
    <w:pPr>
      <w:spacing w:after="180"/>
      <w:jc w:val="left"/>
    </w:pPr>
    <w:rPr>
      <w:lang w:eastAsia="en-US"/>
    </w:rPr>
  </w:style>
  <w:style w:type="paragraph" w:customStyle="1" w:styleId="62">
    <w:name w:val="B4"/>
    <w:basedOn w:val="31"/>
    <w:link w:val="127"/>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character" w:customStyle="1" w:styleId="64">
    <w:name w:val="正文文本 字符"/>
    <w:link w:val="14"/>
    <w:qFormat/>
    <w:uiPriority w:val="0"/>
    <w:rPr>
      <w:rFonts w:ascii="Arial" w:hAnsi="Arial"/>
      <w:lang w:val="en-GB"/>
    </w:rPr>
  </w:style>
  <w:style w:type="paragraph" w:customStyle="1" w:styleId="65">
    <w:name w:val="B5"/>
    <w:basedOn w:val="32"/>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115"/>
    <w:qFormat/>
    <w:uiPriority w:val="0"/>
    <w:pPr>
      <w:keepNext/>
      <w:keepLines/>
      <w:spacing w:after="0"/>
      <w:jc w:val="left"/>
    </w:pPr>
    <w:rPr>
      <w:sz w:val="18"/>
      <w:lang w:eastAsia="en-US"/>
    </w:rPr>
  </w:style>
  <w:style w:type="paragraph" w:customStyle="1" w:styleId="69">
    <w:name w:val="TAC"/>
    <w:basedOn w:val="68"/>
    <w:link w:val="101"/>
    <w:qFormat/>
    <w:uiPriority w:val="0"/>
    <w:pPr>
      <w:jc w:val="center"/>
    </w:pPr>
  </w:style>
  <w:style w:type="paragraph" w:customStyle="1" w:styleId="70">
    <w:name w:val="TAH"/>
    <w:basedOn w:val="69"/>
    <w:link w:val="102"/>
    <w:qFormat/>
    <w:uiPriority w:val="0"/>
    <w:rPr>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6"/>
    <w:qFormat/>
    <w:uiPriority w:val="0"/>
    <w:pPr>
      <w:keepNext w:val="0"/>
      <w:spacing w:before="0" w:after="240"/>
    </w:pPr>
  </w:style>
  <w:style w:type="paragraph" w:customStyle="1" w:styleId="75">
    <w:name w:val="TT"/>
    <w:basedOn w:val="2"/>
    <w:next w:val="1"/>
    <w:qFormat/>
    <w:uiPriority w:val="0"/>
    <w:pPr>
      <w:numPr>
        <w:numId w:val="0"/>
      </w:numPr>
      <w:ind w:left="1134" w:hanging="1134"/>
      <w:outlineLvl w:val="9"/>
    </w:pPr>
    <w:rPr>
      <w:rFonts w:cs="Times New Roman"/>
      <w:szCs w:val="20"/>
      <w:lang w:eastAsia="en-US"/>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0">
    <w:name w:val="ZGSM"/>
    <w:qFormat/>
    <w:uiPriority w:val="0"/>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3">
    <w:name w:val="ZTD"/>
    <w:basedOn w:val="77"/>
    <w:qFormat/>
    <w:uiPriority w:val="0"/>
    <w:pPr>
      <w:framePr w:hRule="auto" w:y="852"/>
    </w:pPr>
    <w:rPr>
      <w:i w:val="0"/>
      <w:sz w:val="40"/>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5">
    <w:name w:val="ZV"/>
    <w:basedOn w:val="84"/>
    <w:qFormat/>
    <w:uiPriority w:val="0"/>
    <w:pPr>
      <w:framePr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3"/>
    <w:qFormat/>
    <w:uiPriority w:val="0"/>
    <w:pPr>
      <w:numPr>
        <w:ilvl w:val="0"/>
        <w:numId w:val="9"/>
      </w:numPr>
    </w:pPr>
  </w:style>
  <w:style w:type="character" w:customStyle="1" w:styleId="88">
    <w:name w:val="B1 Char"/>
    <w:link w:val="59"/>
    <w:qFormat/>
    <w:uiPriority w:val="0"/>
    <w:rPr>
      <w:rFonts w:ascii="Arial" w:hAnsi="Arial"/>
      <w:lang w:val="en-GB" w:eastAsia="en-US"/>
    </w:rPr>
  </w:style>
  <w:style w:type="character" w:customStyle="1" w:styleId="89">
    <w:name w:val="B2 Char"/>
    <w:link w:val="60"/>
    <w:qFormat/>
    <w:uiPriority w:val="0"/>
    <w:rPr>
      <w:rFonts w:ascii="Arial" w:hAnsi="Arial"/>
      <w:lang w:val="en-GB" w:eastAsia="en-US"/>
    </w:rPr>
  </w:style>
  <w:style w:type="character" w:customStyle="1" w:styleId="90">
    <w:name w:val="B3 Char"/>
    <w:link w:val="61"/>
    <w:qFormat/>
    <w:uiPriority w:val="0"/>
    <w:rPr>
      <w:rFonts w:ascii="Arial" w:hAnsi="Arial"/>
      <w:lang w:val="en-GB" w:eastAsia="en-US"/>
    </w:rPr>
  </w:style>
  <w:style w:type="paragraph" w:customStyle="1" w:styleId="91">
    <w:name w:val="NO"/>
    <w:basedOn w:val="1"/>
    <w:link w:val="92"/>
    <w:qFormat/>
    <w:uiPriority w:val="0"/>
    <w:pPr>
      <w:keepLines/>
      <w:spacing w:after="180"/>
      <w:ind w:left="1135" w:hanging="851"/>
      <w:jc w:val="left"/>
    </w:pPr>
    <w:rPr>
      <w:rFonts w:ascii="Times New Roman" w:hAnsi="Times New Roman" w:eastAsia="Malgun Gothic"/>
      <w:lang w:eastAsia="ko-KR"/>
    </w:rPr>
  </w:style>
  <w:style w:type="character" w:customStyle="1" w:styleId="92">
    <w:name w:val="NO Char"/>
    <w:link w:val="91"/>
    <w:qFormat/>
    <w:uiPriority w:val="0"/>
    <w:rPr>
      <w:rFonts w:ascii="Times New Roman" w:hAnsi="Times New Roman" w:eastAsia="Malgun Gothic"/>
      <w:lang w:val="en-GB" w:eastAsia="ko-KR"/>
    </w:rPr>
  </w:style>
  <w:style w:type="character" w:customStyle="1" w:styleId="93">
    <w:name w:val="题注 字符"/>
    <w:link w:val="15"/>
    <w:qFormat/>
    <w:uiPriority w:val="0"/>
    <w:rPr>
      <w:rFonts w:ascii="Arial" w:hAnsi="Arial"/>
      <w:b/>
      <w:bCs/>
      <w:lang w:val="en-GB" w:eastAsia="zh-CN"/>
    </w:rPr>
  </w:style>
  <w:style w:type="paragraph" w:customStyle="1" w:styleId="94">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5">
    <w:name w:val="B1 Zchn"/>
    <w:qFormat/>
    <w:uiPriority w:val="0"/>
    <w:rPr>
      <w:rFonts w:ascii="Arial" w:hAnsi="Arial" w:eastAsia="MS Mincho" w:cs="Arial"/>
      <w:color w:val="0000FF"/>
      <w:kern w:val="2"/>
      <w:lang w:val="en-GB" w:eastAsia="en-US" w:bidi="ar-SA"/>
    </w:rPr>
  </w:style>
  <w:style w:type="paragraph" w:customStyle="1" w:styleId="96">
    <w:name w:val="Revision"/>
    <w:hidden/>
    <w:semiHidden/>
    <w:qFormat/>
    <w:uiPriority w:val="99"/>
    <w:rPr>
      <w:rFonts w:ascii="Arial" w:hAnsi="Arial" w:eastAsia="SimSun" w:cs="Times New Roman"/>
      <w:lang w:val="en-GB" w:eastAsia="zh-CN" w:bidi="ar-SA"/>
    </w:rPr>
  </w:style>
  <w:style w:type="paragraph" w:styleId="97">
    <w:name w:val="List Paragraph"/>
    <w:basedOn w:val="1"/>
    <w:link w:val="104"/>
    <w:qFormat/>
    <w:uiPriority w:val="34"/>
    <w:pPr>
      <w:ind w:left="720"/>
    </w:pPr>
  </w:style>
  <w:style w:type="paragraph" w:customStyle="1" w:styleId="98">
    <w:name w:val="Doc-text2"/>
    <w:basedOn w:val="1"/>
    <w:link w:val="99"/>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TH Char"/>
    <w:link w:val="73"/>
    <w:qFormat/>
    <w:uiPriority w:val="0"/>
    <w:rPr>
      <w:rFonts w:ascii="Arial" w:hAnsi="Arial"/>
      <w:b/>
      <w:lang w:val="en-GB"/>
    </w:rPr>
  </w:style>
  <w:style w:type="character" w:customStyle="1" w:styleId="101">
    <w:name w:val="TAC Char"/>
    <w:link w:val="69"/>
    <w:qFormat/>
    <w:uiPriority w:val="0"/>
    <w:rPr>
      <w:rFonts w:ascii="Arial" w:hAnsi="Arial"/>
      <w:sz w:val="18"/>
      <w:lang w:val="en-GB"/>
    </w:rPr>
  </w:style>
  <w:style w:type="character" w:customStyle="1" w:styleId="102">
    <w:name w:val="TAH Car"/>
    <w:link w:val="70"/>
    <w:qFormat/>
    <w:uiPriority w:val="0"/>
    <w:rPr>
      <w:rFonts w:ascii="Arial" w:hAnsi="Arial"/>
      <w:b/>
      <w:sz w:val="18"/>
      <w:lang w:val="en-GB"/>
    </w:rPr>
  </w:style>
  <w:style w:type="paragraph" w:customStyle="1" w:styleId="103">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4">
    <w:name w:val="列表段落 字符"/>
    <w:link w:val="97"/>
    <w:qFormat/>
    <w:locked/>
    <w:uiPriority w:val="34"/>
    <w:rPr>
      <w:rFonts w:ascii="Arial" w:hAnsi="Arial"/>
      <w:lang w:val="en-GB" w:eastAsia="zh-CN"/>
    </w:rPr>
  </w:style>
  <w:style w:type="character" w:customStyle="1" w:styleId="105">
    <w:name w:val="B1 Char1"/>
    <w:qFormat/>
    <w:uiPriority w:val="0"/>
    <w:rPr>
      <w:lang w:val="en-GB" w:eastAsia="en-US" w:bidi="ar-SA"/>
    </w:rPr>
  </w:style>
  <w:style w:type="character" w:customStyle="1" w:styleId="106">
    <w:name w:val="TF Char"/>
    <w:link w:val="74"/>
    <w:qFormat/>
    <w:uiPriority w:val="0"/>
    <w:rPr>
      <w:rFonts w:ascii="Arial" w:hAnsi="Arial"/>
      <w:b/>
      <w:lang w:val="en-GB"/>
    </w:rPr>
  </w:style>
  <w:style w:type="paragraph" w:customStyle="1" w:styleId="107">
    <w:name w:val="LGTdoc_본문"/>
    <w:basedOn w:val="1"/>
    <w:link w:val="108"/>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8">
    <w:name w:val="LGTdoc_본문 Char"/>
    <w:link w:val="107"/>
    <w:qFormat/>
    <w:uiPriority w:val="0"/>
    <w:rPr>
      <w:rFonts w:ascii="Times New Roman" w:hAnsi="Times New Roman" w:eastAsia="Batang"/>
      <w:kern w:val="2"/>
      <w:sz w:val="22"/>
      <w:szCs w:val="24"/>
      <w:lang w:val="en-GB" w:eastAsia="ko-KR"/>
    </w:rPr>
  </w:style>
  <w:style w:type="character" w:customStyle="1" w:styleId="109">
    <w:name w:val="B3 Char2"/>
    <w:qFormat/>
    <w:uiPriority w:val="0"/>
    <w:rPr>
      <w:rFonts w:eastAsia="Times New Roman"/>
      <w:lang w:eastAsia="ja-JP"/>
    </w:rPr>
  </w:style>
  <w:style w:type="character" w:customStyle="1" w:styleId="110">
    <w:name w:val="批注文字 字符"/>
    <w:link w:val="17"/>
    <w:qFormat/>
    <w:uiPriority w:val="99"/>
    <w:rPr>
      <w:rFonts w:ascii="Arial" w:hAnsi="Arial"/>
      <w:lang w:val="en-GB" w:eastAsia="zh-CN"/>
    </w:rPr>
  </w:style>
  <w:style w:type="paragraph" w:customStyle="1" w:styleId="111">
    <w:name w:val="CR Cover Page"/>
    <w:link w:val="112"/>
    <w:qFormat/>
    <w:uiPriority w:val="0"/>
    <w:pPr>
      <w:spacing w:after="120"/>
    </w:pPr>
    <w:rPr>
      <w:rFonts w:ascii="Arial" w:hAnsi="Arial" w:eastAsia="SimSun" w:cs="Times New Roman"/>
      <w:lang w:val="en-GB" w:eastAsia="en-US" w:bidi="ar-SA"/>
    </w:rPr>
  </w:style>
  <w:style w:type="character" w:customStyle="1" w:styleId="112">
    <w:name w:val="CR Cover Page Zchn"/>
    <w:link w:val="111"/>
    <w:qFormat/>
    <w:uiPriority w:val="0"/>
    <w:rPr>
      <w:rFonts w:ascii="Arial" w:hAnsi="Arial" w:eastAsia="SimSun"/>
      <w:lang w:val="en-GB"/>
    </w:rPr>
  </w:style>
  <w:style w:type="paragraph" w:customStyle="1" w:styleId="113">
    <w:name w:val="PL"/>
    <w:link w:val="11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4">
    <w:name w:val="PL Char"/>
    <w:link w:val="113"/>
    <w:qFormat/>
    <w:uiPriority w:val="0"/>
    <w:rPr>
      <w:rFonts w:ascii="Courier New" w:hAnsi="Courier New"/>
      <w:sz w:val="16"/>
      <w:shd w:val="clear" w:color="auto" w:fill="E6E6E6"/>
      <w:lang w:val="en-GB" w:eastAsia="en-GB"/>
    </w:rPr>
  </w:style>
  <w:style w:type="character" w:customStyle="1" w:styleId="115">
    <w:name w:val="TAL Car"/>
    <w:link w:val="68"/>
    <w:qFormat/>
    <w:uiPriority w:val="0"/>
    <w:rPr>
      <w:rFonts w:ascii="Arial" w:hAnsi="Arial"/>
      <w:sz w:val="18"/>
      <w:lang w:val="en-GB"/>
    </w:rPr>
  </w:style>
  <w:style w:type="paragraph" w:customStyle="1" w:styleId="116">
    <w:name w:val="Agreement"/>
    <w:basedOn w:val="1"/>
    <w:next w:val="98"/>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7">
    <w:name w:val="EmailDiscussion Char"/>
    <w:link w:val="118"/>
    <w:qFormat/>
    <w:locked/>
    <w:uiPriority w:val="0"/>
    <w:rPr>
      <w:rFonts w:ascii="Arial" w:hAnsi="Arial" w:eastAsia="MS Mincho" w:cs="Arial"/>
      <w:b/>
      <w:szCs w:val="24"/>
      <w:lang w:eastAsia="en-US"/>
    </w:rPr>
  </w:style>
  <w:style w:type="paragraph" w:customStyle="1" w:styleId="118">
    <w:name w:val="EmailDiscussion"/>
    <w:basedOn w:val="1"/>
    <w:next w:val="119"/>
    <w:link w:val="117"/>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19">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0">
    <w:name w:val="apple-tab-span"/>
    <w:basedOn w:val="11"/>
    <w:qFormat/>
    <w:uiPriority w:val="0"/>
  </w:style>
  <w:style w:type="paragraph" w:customStyle="1" w:styleId="121">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2">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3">
    <w:name w:val="标题 2 字符"/>
    <w:basedOn w:val="11"/>
    <w:link w:val="3"/>
    <w:qFormat/>
    <w:uiPriority w:val="0"/>
    <w:rPr>
      <w:rFonts w:ascii="Arial" w:hAnsi="Arial" w:cs="Arial"/>
      <w:sz w:val="32"/>
      <w:szCs w:val="32"/>
      <w:lang w:val="en-GB"/>
    </w:rPr>
  </w:style>
  <w:style w:type="character" w:customStyle="1" w:styleId="124">
    <w:name w:val="high-light"/>
    <w:basedOn w:val="11"/>
    <w:qFormat/>
    <w:uiPriority w:val="0"/>
  </w:style>
  <w:style w:type="character" w:customStyle="1" w:styleId="125">
    <w:name w:val="B2 Car"/>
    <w:basedOn w:val="11"/>
    <w:qFormat/>
    <w:uiPriority w:val="0"/>
  </w:style>
  <w:style w:type="character" w:customStyle="1" w:styleId="126">
    <w:name w:val="NO Zchn"/>
    <w:qFormat/>
    <w:uiPriority w:val="0"/>
    <w:rPr>
      <w:rFonts w:ascii="Times New Roman" w:hAnsi="Times New Roman" w:eastAsia="SimSun"/>
      <w:lang w:val="en-GB" w:eastAsia="ja-JP"/>
    </w:rPr>
  </w:style>
  <w:style w:type="character" w:customStyle="1" w:styleId="127">
    <w:name w:val="B4 Char"/>
    <w:link w:val="62"/>
    <w:qFormat/>
    <w:locked/>
    <w:uiPriority w:val="0"/>
    <w:rPr>
      <w:rFonts w:ascii="Arial" w:hAnsi="Arial"/>
      <w:lang w:val="en-GB" w:eastAsia="en-US"/>
    </w:rPr>
  </w:style>
  <w:style w:type="character" w:customStyle="1" w:styleId="128">
    <w:name w:val="CR Cover Page Char"/>
    <w:qFormat/>
    <w:uiPriority w:val="0"/>
    <w:rPr>
      <w:rFonts w:ascii="Arial" w:hAnsi="Arial"/>
      <w:lang w:val="en-GB" w:eastAsia="en-US" w:bidi="ar-SA"/>
    </w:rPr>
  </w:style>
  <w:style w:type="character" w:customStyle="1" w:styleId="129">
    <w:name w:val="标题 3 字符"/>
    <w:link w:val="4"/>
    <w:qFormat/>
    <w:uiPriority w:val="0"/>
    <w:rPr>
      <w:rFonts w:ascii="Arial" w:hAnsi="Arial" w:cs="Arial"/>
      <w:sz w:val="28"/>
      <w:szCs w:val="28"/>
      <w:lang w:val="en-GB"/>
    </w:rPr>
  </w:style>
  <w:style w:type="character" w:customStyle="1" w:styleId="130">
    <w:name w:val="ui-provider"/>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75F1D-F534-4A5E-A862-A594C6A0FD9F}">
  <ds:schemaRefs/>
</ds:datastoreItem>
</file>

<file path=customXml/itemProps2.xml><?xml version="1.0" encoding="utf-8"?>
<ds:datastoreItem xmlns:ds="http://schemas.openxmlformats.org/officeDocument/2006/customXml" ds:itemID="{F2E6D74F-0206-4B1F-8E31-1DEEC2C0A8D0}">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5FC3BF04-EC5C-4B77-A770-2D16BE3A519E}">
  <ds:schemaRefs/>
</ds:datastoreItem>
</file>

<file path=customXml/itemProps5.xml><?xml version="1.0" encoding="utf-8"?>
<ds:datastoreItem xmlns:ds="http://schemas.openxmlformats.org/officeDocument/2006/customXml" ds:itemID="{54B5C809-48AD-4AC1-A8D3-E11BE8807334}">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5</Pages>
  <TotalTime>1</TotalTime>
  <ScaleCrop>false</ScaleCrop>
  <LinksUpToDate>false</LinksUpToDate>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2024-08-09T08:24:40Z</dcterms:modified>
  <dc:subject>New Radio Access Technology</dc:subject>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1033-12.2.0.17545</vt:lpwstr>
  </property>
  <property fmtid="{D5CDD505-2E9C-101B-9397-08002B2CF9AE}" pid="28" name="ICV">
    <vt:lpwstr>4ADBBFE0B6CF440FABAB199C62D09DB5_13</vt:lpwstr>
  </property>
</Properties>
</file>